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DEC8" w14:textId="77777777" w:rsidR="002702A1" w:rsidRDefault="002702A1" w:rsidP="002702A1">
      <w:pPr>
        <w:pStyle w:val="xmsonormal"/>
      </w:pPr>
    </w:p>
    <w:tbl>
      <w:tblPr>
        <w:tblW w:w="10425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7670"/>
      </w:tblGrid>
      <w:tr w:rsidR="002702A1" w14:paraId="1FEB048F" w14:textId="77777777" w:rsidTr="00E7048B">
        <w:trPr>
          <w:trHeight w:val="5421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2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56B88" w14:textId="3DB4CB88" w:rsidR="002702A1" w:rsidRDefault="002702A1">
            <w:pPr>
              <w:pStyle w:val="xmsonormal"/>
              <w:spacing w:line="276" w:lineRule="auto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82A457" wp14:editId="6EFB673F">
                  <wp:extent cx="1587500" cy="1174750"/>
                  <wp:effectExtent l="0" t="0" r="12700" b="6350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B282E" w14:textId="77777777" w:rsidR="002702A1" w:rsidRDefault="002702A1">
            <w:pPr>
              <w:pStyle w:val="xmsonormal"/>
              <w:spacing w:line="276" w:lineRule="auto"/>
            </w:pPr>
            <w:r>
              <w:rPr>
                <w:i/>
                <w:iCs/>
                <w:color w:val="000000"/>
                <w:sz w:val="20"/>
                <w:szCs w:val="20"/>
              </w:rPr>
              <w:t>Les candidats intéressés sont invités à se manifester :</w:t>
            </w:r>
          </w:p>
          <w:p w14:paraId="2E215C95" w14:textId="77777777" w:rsidR="002702A1" w:rsidRDefault="002702A1">
            <w:pPr>
              <w:pStyle w:val="xmsonormal"/>
              <w:spacing w:line="276" w:lineRule="auto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SELARL FHB – Maître Théophile FORNACCIARI, Administrateur Judiciaire Associé</w:t>
            </w:r>
          </w:p>
          <w:p w14:paraId="50E97AF2" w14:textId="77777777" w:rsidR="002702A1" w:rsidRDefault="002702A1">
            <w:pPr>
              <w:pStyle w:val="xmsonormal"/>
              <w:spacing w:line="276" w:lineRule="auto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176 Avenue Charles de Gaulle - 92200 Neuilly-sur-Seine - </w:t>
            </w:r>
            <w:hyperlink r:id="rId6" w:history="1">
              <w:r>
                <w:rPr>
                  <w:rStyle w:val="Lienhypertexte"/>
                  <w:i/>
                  <w:iCs/>
                  <w:sz w:val="20"/>
                  <w:szCs w:val="20"/>
                </w:rPr>
                <w:t>www.fhbx.eu</w:t>
              </w:r>
            </w:hyperlink>
          </w:p>
          <w:p w14:paraId="361349DC" w14:textId="3AC44E96" w:rsidR="002702A1" w:rsidRDefault="002702A1">
            <w:pPr>
              <w:pStyle w:val="xmsonormal"/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e-mails : </w:t>
            </w:r>
            <w:hyperlink r:id="rId7" w:history="1">
              <w:r>
                <w:rPr>
                  <w:rStyle w:val="Lienhypertexte"/>
                  <w:i/>
                  <w:iCs/>
                  <w:sz w:val="20"/>
                  <w:szCs w:val="20"/>
                </w:rPr>
                <w:t>theophile.fornacciari@fhbx.eu</w:t>
              </w:r>
            </w:hyperlink>
          </w:p>
          <w:p w14:paraId="1D054980" w14:textId="77777777" w:rsidR="002702A1" w:rsidRDefault="002702A1">
            <w:pPr>
              <w:pStyle w:val="xmsonormal"/>
              <w:spacing w:line="276" w:lineRule="auto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et</w:t>
            </w:r>
          </w:p>
          <w:p w14:paraId="6EE17F66" w14:textId="77777777" w:rsidR="002702A1" w:rsidRDefault="002702A1">
            <w:pPr>
              <w:pStyle w:val="xmsonormal"/>
              <w:spacing w:line="276" w:lineRule="auto"/>
              <w:jc w:val="center"/>
            </w:pPr>
            <w:hyperlink r:id="rId8" w:history="1">
              <w:r>
                <w:rPr>
                  <w:rStyle w:val="Lienhypertexte"/>
                  <w:i/>
                  <w:iCs/>
                  <w:sz w:val="20"/>
                  <w:szCs w:val="20"/>
                </w:rPr>
                <w:t>martin.cormont@fhbx.eu</w:t>
              </w:r>
            </w:hyperlink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16C55" w14:textId="0578D284" w:rsidR="002702A1" w:rsidRDefault="002702A1">
            <w:pPr>
              <w:pStyle w:val="xmso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7E78BE7" wp14:editId="1388E2FD">
                  <wp:extent cx="4743450" cy="5461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5D184" w14:textId="77777777" w:rsidR="002702A1" w:rsidRDefault="002702A1">
            <w:pPr>
              <w:pStyle w:val="xmsonormal"/>
              <w:spacing w:line="276" w:lineRule="auto"/>
            </w:pPr>
            <w:r>
              <w:rPr>
                <w:b/>
                <w:bCs/>
                <w:sz w:val="6"/>
                <w:szCs w:val="6"/>
              </w:rPr>
              <w:t> </w:t>
            </w:r>
          </w:p>
          <w:p w14:paraId="6443B095" w14:textId="71E9A99E" w:rsidR="002702A1" w:rsidRDefault="002702A1" w:rsidP="00E7048B">
            <w:pPr>
              <w:pStyle w:val="xmsonormal"/>
              <w:spacing w:line="276" w:lineRule="auto"/>
              <w:ind w:left="708"/>
            </w:pPr>
            <w:r>
              <w:rPr>
                <w:noProof/>
              </w:rPr>
              <w:drawing>
                <wp:anchor distT="76200" distB="76200" distL="76200" distR="76200" simplePos="0" relativeHeight="251658240" behindDoc="0" locked="0" layoutInCell="1" allowOverlap="0" wp14:anchorId="5DA0D119" wp14:editId="49A7F25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" cy="152400"/>
                  <wp:effectExtent l="0" t="0" r="9525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>GLOBAL</w:t>
            </w:r>
            <w:r w:rsidR="00E7048B">
              <w:rPr>
                <w:b/>
                <w:bCs/>
                <w:sz w:val="28"/>
                <w:szCs w:val="28"/>
              </w:rPr>
              <w:t xml:space="preserve"> BUSINESS</w:t>
            </w:r>
            <w:r>
              <w:rPr>
                <w:b/>
                <w:bCs/>
                <w:sz w:val="28"/>
                <w:szCs w:val="28"/>
              </w:rPr>
              <w:t xml:space="preserve"> SERVICES </w:t>
            </w:r>
          </w:p>
          <w:p w14:paraId="13DA393F" w14:textId="77777777" w:rsidR="002702A1" w:rsidRDefault="002702A1" w:rsidP="00E7048B">
            <w:pPr>
              <w:pStyle w:val="xmsonormal"/>
              <w:spacing w:line="276" w:lineRule="auto"/>
              <w:ind w:left="708"/>
            </w:pPr>
            <w:r>
              <w:rPr>
                <w:b/>
                <w:bCs/>
                <w:sz w:val="28"/>
                <w:szCs w:val="28"/>
              </w:rPr>
              <w:t xml:space="preserve">Société spécialisée dans la bureautique </w:t>
            </w:r>
          </w:p>
          <w:p w14:paraId="35D2D5B1" w14:textId="77777777" w:rsidR="002702A1" w:rsidRDefault="002702A1">
            <w:pPr>
              <w:pStyle w:val="xmsonormal"/>
              <w:spacing w:line="276" w:lineRule="auto"/>
              <w:ind w:firstLine="141"/>
              <w:jc w:val="both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  <w:p w14:paraId="745CBCCB" w14:textId="77777777" w:rsidR="002702A1" w:rsidRDefault="002702A1">
            <w:pPr>
              <w:pStyle w:val="xmsonormal"/>
              <w:spacing w:line="276" w:lineRule="auto"/>
              <w:ind w:left="720" w:hanging="360"/>
              <w:jc w:val="both"/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sz w:val="20"/>
                <w:szCs w:val="20"/>
              </w:rPr>
              <w:t>Activité : maintenance d’équipements bureautiques</w:t>
            </w:r>
          </w:p>
          <w:p w14:paraId="24C39B41" w14:textId="77777777" w:rsidR="002702A1" w:rsidRDefault="002702A1">
            <w:pPr>
              <w:pStyle w:val="xmsonormal"/>
              <w:spacing w:line="276" w:lineRule="auto"/>
              <w:ind w:left="720" w:hanging="360"/>
              <w:jc w:val="both"/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sz w:val="20"/>
                <w:szCs w:val="20"/>
              </w:rPr>
              <w:t>Lieu d’exploitation : Boulogne-Billancourt (92) et région Ile-de-France</w:t>
            </w:r>
          </w:p>
          <w:p w14:paraId="7F27C87A" w14:textId="122F6ED5" w:rsidR="002702A1" w:rsidRDefault="002702A1">
            <w:pPr>
              <w:pStyle w:val="xmsonormal"/>
              <w:spacing w:line="276" w:lineRule="auto"/>
              <w:ind w:left="720" w:hanging="360"/>
              <w:jc w:val="both"/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sz w:val="20"/>
                <w:szCs w:val="20"/>
              </w:rPr>
              <w:t xml:space="preserve">Chiffre </w:t>
            </w:r>
            <w:r w:rsidRPr="002702A1">
              <w:rPr>
                <w:sz w:val="20"/>
                <w:szCs w:val="20"/>
              </w:rPr>
              <w:t>d’affaires 2021 :</w:t>
            </w:r>
            <w:r>
              <w:t xml:space="preserve"> </w:t>
            </w:r>
            <w:r w:rsidRPr="002702A1">
              <w:rPr>
                <w:sz w:val="20"/>
                <w:szCs w:val="20"/>
              </w:rPr>
              <w:t>1.800.000 €</w:t>
            </w:r>
          </w:p>
          <w:p w14:paraId="3442F58B" w14:textId="77777777" w:rsidR="002702A1" w:rsidRDefault="002702A1">
            <w:pPr>
              <w:pStyle w:val="xmsonormal"/>
              <w:spacing w:line="276" w:lineRule="auto"/>
              <w:ind w:left="720" w:hanging="360"/>
              <w:jc w:val="both"/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sz w:val="20"/>
                <w:szCs w:val="20"/>
              </w:rPr>
              <w:t xml:space="preserve">Clientèle : </w:t>
            </w:r>
            <w:proofErr w:type="spellStart"/>
            <w:r>
              <w:rPr>
                <w:sz w:val="20"/>
                <w:szCs w:val="20"/>
              </w:rPr>
              <w:t>BtoB</w:t>
            </w:r>
            <w:proofErr w:type="spellEnd"/>
            <w:r>
              <w:rPr>
                <w:sz w:val="20"/>
                <w:szCs w:val="20"/>
              </w:rPr>
              <w:t xml:space="preserve"> très diversifiée et composée de professions libérales, TPE, PME, ETI, associations, fondations…</w:t>
            </w:r>
          </w:p>
          <w:p w14:paraId="07D2ADD7" w14:textId="080EAE6C" w:rsidR="002702A1" w:rsidRDefault="002702A1">
            <w:pPr>
              <w:pStyle w:val="xmsonormal"/>
              <w:spacing w:line="276" w:lineRule="auto"/>
              <w:ind w:left="720" w:hanging="360"/>
              <w:jc w:val="both"/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sz w:val="20"/>
                <w:szCs w:val="20"/>
              </w:rPr>
              <w:t xml:space="preserve">Effectif :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salariés</w:t>
            </w:r>
          </w:p>
          <w:p w14:paraId="3863CA80" w14:textId="6A8F7EEE" w:rsidR="002702A1" w:rsidRDefault="002702A1">
            <w:pPr>
              <w:pStyle w:val="xmsonormal"/>
              <w:spacing w:line="276" w:lineRule="auto"/>
              <w:ind w:left="720" w:hanging="360"/>
              <w:jc w:val="both"/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sz w:val="20"/>
                <w:szCs w:val="20"/>
              </w:rPr>
              <w:t xml:space="preserve">Site de la société : </w:t>
            </w:r>
            <w:hyperlink r:id="rId12" w:history="1">
              <w:r w:rsidRPr="00584E1F">
                <w:rPr>
                  <w:rStyle w:val="Lienhypertexte"/>
                  <w:sz w:val="20"/>
                  <w:szCs w:val="20"/>
                </w:rPr>
                <w:t>https://www.ace-gs.com/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75C6F95" w14:textId="77777777" w:rsidR="002702A1" w:rsidRDefault="002702A1">
            <w:pPr>
              <w:pStyle w:val="xmsonormal"/>
              <w:spacing w:line="276" w:lineRule="auto"/>
              <w:ind w:left="2834" w:hanging="2692"/>
              <w:jc w:val="both"/>
            </w:pPr>
            <w:r>
              <w:rPr>
                <w:sz w:val="20"/>
                <w:szCs w:val="20"/>
              </w:rPr>
              <w:t> </w:t>
            </w:r>
          </w:p>
          <w:p w14:paraId="60319439" w14:textId="77777777" w:rsidR="002702A1" w:rsidRDefault="002702A1">
            <w:pPr>
              <w:pStyle w:val="xmsonormal"/>
              <w:spacing w:line="276" w:lineRule="auto"/>
              <w:ind w:left="2834" w:hanging="2692"/>
              <w:jc w:val="both"/>
            </w:pPr>
            <w:r>
              <w:rPr>
                <w:b/>
                <w:bCs/>
                <w:sz w:val="20"/>
                <w:szCs w:val="20"/>
              </w:rPr>
              <w:t>La date limite de dépôt des offres de reprise est fixée au</w:t>
            </w: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u w:val="single"/>
              </w:rPr>
              <w:t>23 septembre 2022.</w:t>
            </w:r>
          </w:p>
          <w:p w14:paraId="69103A87" w14:textId="77777777" w:rsidR="002702A1" w:rsidRDefault="002702A1">
            <w:pPr>
              <w:pStyle w:val="xmsonormal"/>
              <w:spacing w:line="276" w:lineRule="auto"/>
              <w:ind w:left="141"/>
              <w:jc w:val="both"/>
            </w:pPr>
            <w:r>
              <w:rPr>
                <w:sz w:val="20"/>
                <w:szCs w:val="20"/>
              </w:rPr>
              <w:t> </w:t>
            </w:r>
          </w:p>
          <w:p w14:paraId="2EA2357F" w14:textId="5A1A0A07" w:rsidR="002702A1" w:rsidRDefault="002702A1">
            <w:pPr>
              <w:pStyle w:val="xmsonormal"/>
              <w:spacing w:line="276" w:lineRule="auto"/>
              <w:ind w:left="141"/>
              <w:jc w:val="both"/>
            </w:pPr>
            <w:r>
              <w:rPr>
                <w:sz w:val="20"/>
                <w:szCs w:val="20"/>
              </w:rPr>
              <w:t xml:space="preserve">L’accès à une data room électronique sera autorisé après régularisation d’un </w:t>
            </w:r>
            <w:r>
              <w:rPr>
                <w:b/>
                <w:bCs/>
                <w:sz w:val="20"/>
                <w:szCs w:val="20"/>
              </w:rPr>
              <w:t>engagement de confidentialité</w:t>
            </w:r>
            <w:r>
              <w:rPr>
                <w:sz w:val="20"/>
                <w:szCs w:val="20"/>
              </w:rPr>
              <w:t xml:space="preserve"> et une </w:t>
            </w:r>
            <w:r>
              <w:rPr>
                <w:b/>
                <w:bCs/>
                <w:sz w:val="20"/>
                <w:szCs w:val="20"/>
              </w:rPr>
              <w:t>présentation succincte du candidat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CD91CE1" w14:textId="77777777" w:rsidR="00DE6D39" w:rsidRDefault="00DE6D39"/>
    <w:sectPr w:rsidR="00DE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A1"/>
    <w:rsid w:val="002702A1"/>
    <w:rsid w:val="00DE6D39"/>
    <w:rsid w:val="00E7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F78E"/>
  <w15:chartTrackingRefBased/>
  <w15:docId w15:val="{5C0FC024-FA4F-4FF3-864A-26C99EBE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A1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2A1"/>
    <w:rPr>
      <w:color w:val="0563C1"/>
      <w:u w:val="single"/>
    </w:rPr>
  </w:style>
  <w:style w:type="paragraph" w:customStyle="1" w:styleId="xmsonormal">
    <w:name w:val="x_msonormal"/>
    <w:basedOn w:val="Normal"/>
    <w:rsid w:val="002702A1"/>
  </w:style>
  <w:style w:type="character" w:styleId="Mentionnonrsolue">
    <w:name w:val="Unresolved Mention"/>
    <w:basedOn w:val="Policepardfaut"/>
    <w:uiPriority w:val="99"/>
    <w:semiHidden/>
    <w:unhideWhenUsed/>
    <w:rsid w:val="00270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cormont@fhbx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eophile.fornacciari@fhbx.eu" TargetMode="External"/><Relationship Id="rId12" Type="http://schemas.openxmlformats.org/officeDocument/2006/relationships/hyperlink" Target="https://www.ace-g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hbx.eu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png@01D8C860.E7F88870" TargetMode="External"/><Relationship Id="rId10" Type="http://schemas.openxmlformats.org/officeDocument/2006/relationships/image" Target="cid:image002.png@01D8C860.E7F8887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CORMONT</dc:creator>
  <cp:keywords/>
  <dc:description/>
  <cp:lastModifiedBy>Martin CORMONT</cp:lastModifiedBy>
  <cp:revision>2</cp:revision>
  <dcterms:created xsi:type="dcterms:W3CDTF">2022-09-15T09:20:00Z</dcterms:created>
  <dcterms:modified xsi:type="dcterms:W3CDTF">2022-09-15T09:24:00Z</dcterms:modified>
</cp:coreProperties>
</file>