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D6" w:rsidRDefault="001D4BD6" w:rsidP="001D4BD6">
      <w:pPr>
        <w:spacing w:before="6" w:line="391" w:lineRule="exact"/>
        <w:ind w:left="102" w:right="102"/>
        <w:jc w:val="center"/>
        <w:textAlignment w:val="baseline"/>
        <w:rPr>
          <w:rFonts w:ascii="Calibri" w:eastAsia="Calibri" w:hAnsi="Calibri"/>
          <w:b/>
          <w:color w:val="2FD7B8"/>
          <w:sz w:val="32"/>
        </w:rPr>
      </w:pPr>
      <w:bookmarkStart w:id="0" w:name="_GoBack"/>
      <w:bookmarkEnd w:id="0"/>
    </w:p>
    <w:p w:rsidR="001D4BD6" w:rsidRDefault="00BA5DA3"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drawing>
          <wp:anchor distT="0" distB="0" distL="114300" distR="114300" simplePos="0" relativeHeight="251684864" behindDoc="0" locked="0" layoutInCell="1" allowOverlap="1" wp14:anchorId="68C7E886">
            <wp:simplePos x="0" y="0"/>
            <wp:positionH relativeFrom="page">
              <wp:posOffset>3201670</wp:posOffset>
            </wp:positionH>
            <wp:positionV relativeFrom="page">
              <wp:posOffset>-36195</wp:posOffset>
            </wp:positionV>
            <wp:extent cx="1515110" cy="1266825"/>
            <wp:effectExtent l="0" t="0" r="8890" b="9525"/>
            <wp:wrapNone/>
            <wp:docPr id="27" name="Image 10" descr="Logo_PHILAE_CMJN_Plan de trav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_PHILAE_CMJN_Plan de travail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5110" cy="1266825"/>
                    </a:xfrm>
                    <a:prstGeom prst="rect">
                      <a:avLst/>
                    </a:prstGeom>
                    <a:noFill/>
                  </pic:spPr>
                </pic:pic>
              </a:graphicData>
            </a:graphic>
            <wp14:sizeRelH relativeFrom="margin">
              <wp14:pctWidth>0</wp14:pctWidth>
            </wp14:sizeRelH>
            <wp14:sizeRelV relativeFrom="margin">
              <wp14:pctHeight>0</wp14:pctHeight>
            </wp14:sizeRelV>
          </wp:anchor>
        </w:drawing>
      </w:r>
      <w:r w:rsidR="001D4BD6">
        <w:rPr>
          <w:rFonts w:ascii="Calibri" w:eastAsia="Calibri" w:hAnsi="Calibri"/>
          <w:b/>
          <w:color w:val="2FD7B8"/>
          <w:sz w:val="32"/>
        </w:rPr>
        <w:t xml:space="preserve"> </w:t>
      </w:r>
      <w:r w:rsidR="001D4BD6">
        <w:rPr>
          <w:rFonts w:ascii="Calibri" w:eastAsia="Calibri" w:hAnsi="Calibri"/>
          <w:b/>
          <w:color w:val="2FD7B8"/>
          <w:sz w:val="32"/>
        </w:rPr>
        <w:br/>
      </w:r>
    </w:p>
    <w:p w:rsidR="001D4BD6" w:rsidRPr="002F4005" w:rsidRDefault="00BA5DA3"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mc:AlternateContent>
          <mc:Choice Requires="wps">
            <w:drawing>
              <wp:anchor distT="0" distB="339725" distL="0" distR="0" simplePos="0" relativeHeight="251659264" behindDoc="1" locked="0" layoutInCell="1" allowOverlap="1">
                <wp:simplePos x="0" y="0"/>
                <wp:positionH relativeFrom="page">
                  <wp:posOffset>438785</wp:posOffset>
                </wp:positionH>
                <wp:positionV relativeFrom="page">
                  <wp:posOffset>1409700</wp:posOffset>
                </wp:positionV>
                <wp:extent cx="6858000" cy="1247775"/>
                <wp:effectExtent l="0" t="0" r="0" b="0"/>
                <wp:wrapNone/>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477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34.55pt;margin-top:111pt;width:540pt;height:98.25pt;z-index:-251657216;visibility:visible;mso-wrap-style:square;mso-width-percent:0;mso-height-percent:0;mso-wrap-distance-left:0;mso-wrap-distance-top:0;mso-wrap-distance-right:0;mso-wrap-distance-bottom:26.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" fillcolor="#f1f1f1" stroked="f">
                <v:textbox inset="0,0,0,0">
                  <w:txbxContent>
                    <w:p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mc:Fallback>
        </mc:AlternateConten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1" w:name="SAFFAIRE_ABREVIALIB_0"/>
      <w:r w:rsidR="001D4BD6" w:rsidRPr="002F4005">
        <w:rPr>
          <w:rFonts w:ascii="Century Gothic" w:hAnsi="Century Gothic" w:cstheme="minorHAnsi"/>
          <w:b/>
          <w:color w:val="1F497D" w:themeColor="text2"/>
        </w:rPr>
        <w:t xml:space="preserve">  </w:t>
      </w:r>
      <w:bookmarkEnd w:id="1"/>
      <w:r w:rsidR="001D4BD6" w:rsidRPr="002F4005">
        <w:rPr>
          <w:rFonts w:ascii="Century Gothic" w:hAnsi="Century Gothic" w:cstheme="minorHAnsi"/>
          <w:b/>
          <w:color w:val="1F497D" w:themeColor="text2"/>
        </w:rPr>
        <w:t xml:space="preserve"> </w:t>
      </w:r>
      <w:bookmarkStart w:id="2" w:name="SAFFAIRE_NOM_0"/>
      <w:r w:rsidR="001D4BD6" w:rsidRPr="002F4005">
        <w:rPr>
          <w:rFonts w:ascii="Century Gothic" w:hAnsi="Century Gothic" w:cstheme="minorHAnsi"/>
          <w:b/>
          <w:color w:val="1F497D" w:themeColor="text2"/>
        </w:rPr>
        <w:t>SARL LE PAIN A 4 MAINS</w:t>
      </w:r>
      <w:bookmarkEnd w:id="2"/>
      <w:r w:rsidR="001D4BD6" w:rsidRPr="002F4005">
        <w:rPr>
          <w:rFonts w:ascii="Century Gothic" w:eastAsia="Calibri" w:hAnsi="Century Gothic" w:cstheme="minorHAnsi"/>
          <w:b/>
          <w:color w:val="1F497D" w:themeColor="text2"/>
          <w:spacing w:val="-33"/>
          <w:w w:val="125"/>
        </w:rPr>
        <w:t>...............</w:t>
      </w:r>
    </w:p>
    <w:p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3" w:name="SAFFAIRE_LJDP_0"/>
      <w:r w:rsidRPr="002F4005">
        <w:rPr>
          <w:rFonts w:ascii="Century Gothic" w:hAnsi="Century Gothic" w:cstheme="minorHAnsi"/>
          <w:sz w:val="20"/>
          <w:szCs w:val="20"/>
        </w:rPr>
        <w:t>08/02/2023</w:t>
      </w:r>
      <w:bookmarkEnd w:id="3"/>
    </w:p>
    <w:p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l’entreprise</w:t>
      </w:r>
      <w:r w:rsidR="002F4005" w:rsidRPr="002F4005">
        <w:rPr>
          <w:rFonts w:ascii="Century Gothic" w:hAnsi="Century Gothic" w:cs="Calibri"/>
          <w:b/>
          <w:color w:val="1F497D"/>
        </w:rPr>
        <w:t xml:space="preserve"> </w:t>
      </w:r>
      <w:r w:rsidR="00C257AD">
        <w:rPr>
          <w:rFonts w:ascii="Century Gothic" w:hAnsi="Century Gothic" w:cs="Calibri"/>
          <w:b/>
          <w:color w:val="1F497D"/>
        </w:rPr>
        <w:t xml:space="preserve">la </w:t>
      </w:r>
      <w:r w:rsidR="002F4005" w:rsidRPr="002F4005">
        <w:rPr>
          <w:rFonts w:ascii="Century Gothic" w:hAnsi="Century Gothic" w:cs="Calibri"/>
          <w:sz w:val="20"/>
          <w:szCs w:val="20"/>
        </w:rPr>
        <w:t>SARL LE PAIN A 4 MAINS</w:t>
      </w:r>
    </w:p>
    <w:p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rsidR="002F4005" w:rsidRPr="002F4005" w:rsidRDefault="002F4005" w:rsidP="002F4005">
      <w:pPr>
        <w:spacing w:before="43" w:line="226" w:lineRule="exact"/>
        <w:textAlignment w:val="baseline"/>
        <w:rPr>
          <w:rFonts w:ascii="Century Gothic" w:eastAsia="Calibri" w:hAnsi="Century Gothic"/>
          <w:color w:val="000000"/>
          <w:sz w:val="20"/>
          <w:szCs w:val="20"/>
        </w:rPr>
      </w:pPr>
    </w:p>
    <w:p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C257AD">
        <w:rPr>
          <w:rFonts w:ascii="Century Gothic" w:eastAsia="Calibri" w:hAnsi="Century Gothic"/>
          <w:color w:val="000000"/>
          <w:sz w:val="20"/>
          <w:szCs w:val="20"/>
        </w:rPr>
        <w:t>20.03.2023.</w:t>
      </w:r>
    </w:p>
    <w:p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 123 avenue Thiers 33100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Les offres ne pourront être retirées sous aucun prétexte avant que le juge commissaire ait statué, et ne pourront être modifiées que dans le sens d’une amélioration.</w:t>
      </w:r>
    </w:p>
    <w:p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rsidR="001D4BD6" w:rsidRPr="002F4005" w:rsidRDefault="001D4BD6" w:rsidP="002F4005">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 </w:t>
      </w:r>
      <w:r w:rsidR="002F4005">
        <w:rPr>
          <w:rFonts w:ascii="Century Gothic" w:eastAsia="Calibri" w:hAnsi="Century Gothic"/>
          <w:color w:val="000000"/>
          <w:spacing w:val="-1"/>
          <w:sz w:val="20"/>
          <w:szCs w:val="20"/>
        </w:rPr>
        <w:t>………..</w:t>
      </w:r>
      <w:r w:rsidRPr="002F4005">
        <w:rPr>
          <w:rFonts w:ascii="Century Gothic" w:eastAsia="Calibri" w:hAnsi="Century Gothic"/>
          <w:color w:val="000000"/>
          <w:spacing w:val="-1"/>
          <w:sz w:val="20"/>
          <w:szCs w:val="20"/>
        </w:rPr>
        <w:t>».</w:t>
      </w:r>
    </w:p>
    <w:p w:rsidR="001D4BD6" w:rsidRDefault="001D4BD6" w:rsidP="001D4BD6">
      <w:pPr>
        <w:spacing w:before="308"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rsidR="001D4BD6" w:rsidRPr="002F4005" w:rsidRDefault="001D4BD6" w:rsidP="002F4005">
      <w:pPr>
        <w:spacing w:before="42" w:line="227"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pacing w:val="2"/>
          <w:sz w:val="20"/>
          <w:szCs w:val="20"/>
          <w:highlight w:val="yellow"/>
        </w:rPr>
        <w:t>Elle sera conservée si votre offre est retenue et que vous ne menez pas l’acquisition à bien, sans préjudice de tous</w:t>
      </w:r>
      <w:r w:rsidR="002F4005" w:rsidRPr="002F4005">
        <w:rPr>
          <w:rFonts w:ascii="Century Gothic" w:eastAsia="Calibri" w:hAnsi="Century Gothic"/>
          <w:color w:val="000000"/>
          <w:spacing w:val="2"/>
          <w:sz w:val="20"/>
          <w:szCs w:val="20"/>
          <w:highlight w:val="yellow"/>
        </w:rPr>
        <w:t xml:space="preserve"> </w:t>
      </w:r>
      <w:r w:rsidRPr="002F4005">
        <w:rPr>
          <w:rFonts w:ascii="Century Gothic" w:eastAsia="Calibri" w:hAnsi="Century Gothic"/>
          <w:color w:val="000000"/>
          <w:sz w:val="20"/>
          <w:szCs w:val="20"/>
          <w:highlight w:val="yellow"/>
        </w:rPr>
        <w:t>dommages et intérêts et/ou de toute action en exécution forcée.</w:t>
      </w:r>
    </w:p>
    <w:p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rsidR="002F4005" w:rsidRDefault="00BA5DA3" w:rsidP="001D4BD6">
      <w:pPr>
        <w:rPr>
          <w:rFonts w:ascii="Century Gothic" w:hAnsi="Century Gothic"/>
          <w:sz w:val="20"/>
          <w:szCs w:val="20"/>
        </w:rPr>
      </w:pPr>
      <w:r>
        <w:rPr>
          <w:noProof/>
        </w:rPr>
        <w:drawing>
          <wp:inline distT="0" distB="0" distL="0" distR="0">
            <wp:extent cx="6642100" cy="3733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3733800"/>
                    </a:xfrm>
                    <a:prstGeom prst="rect">
                      <a:avLst/>
                    </a:prstGeom>
                    <a:noFill/>
                    <a:ln>
                      <a:noFill/>
                    </a:ln>
                  </pic:spPr>
                </pic:pic>
              </a:graphicData>
            </a:graphic>
          </wp:inline>
        </w:drawing>
      </w:r>
    </w:p>
    <w:p w:rsidR="002F4005" w:rsidRDefault="002F4005" w:rsidP="001D4BD6">
      <w:pPr>
        <w:rPr>
          <w:rFonts w:ascii="Century Gothic" w:hAnsi="Century Gothic"/>
          <w:sz w:val="20"/>
          <w:szCs w:val="20"/>
        </w:rPr>
      </w:pPr>
    </w:p>
    <w:p w:rsidR="002F4005" w:rsidRDefault="002F4005" w:rsidP="001D4BD6">
      <w:pPr>
        <w:rPr>
          <w:rFonts w:ascii="Century Gothic" w:hAnsi="Century Gothic"/>
          <w:sz w:val="20"/>
          <w:szCs w:val="20"/>
        </w:rPr>
      </w:pPr>
    </w:p>
    <w:p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Kbis de moins de 3 mois, statuts certifiés conformes et à jour </w:t>
      </w:r>
    </w:p>
    <w:p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Engagement du candidat</w:t>
      </w:r>
    </w:p>
    <w:p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rsidR="001D4BD6" w:rsidRPr="002F4005" w:rsidRDefault="001D4BD6" w:rsidP="001D4BD6">
      <w:pPr>
        <w:spacing w:after="251" w:line="20" w:lineRule="exact"/>
        <w:rPr>
          <w:rFonts w:ascii="Century Gothic" w:hAnsi="Century Gothic"/>
          <w:sz w:val="20"/>
          <w:szCs w:val="20"/>
        </w:rPr>
      </w:pPr>
    </w:p>
    <w:p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rsidR="001D4BD6" w:rsidRPr="002F4005" w:rsidRDefault="001D4BD6" w:rsidP="001D4BD6">
      <w:pPr>
        <w:spacing w:after="323" w:line="20" w:lineRule="exact"/>
        <w:rPr>
          <w:rFonts w:ascii="Century Gothic" w:hAnsi="Century Gothic"/>
          <w:sz w:val="20"/>
          <w:szCs w:val="20"/>
        </w:rPr>
      </w:pPr>
    </w:p>
    <w:p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t>RGPD</w:t>
      </w:r>
    </w:p>
    <w:p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anc. MALMEZAT-PRAT-LUCAS-DABADIE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rsidR="001D4BD6" w:rsidRPr="002F4005" w:rsidRDefault="001D4BD6" w:rsidP="001D4BD6">
      <w:pPr>
        <w:spacing w:before="306" w:after="259" w:line="280" w:lineRule="exact"/>
        <w:ind w:left="144"/>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Je déclare que les fonds utilisés pour la présente acquisition proviennent de</w:t>
      </w:r>
    </w:p>
    <w:p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rsidR="001D4BD6" w:rsidRPr="002F4005" w:rsidRDefault="00BA5DA3" w:rsidP="001D4BD6">
      <w:pPr>
        <w:spacing w:before="3086" w:line="288" w:lineRule="exact"/>
        <w:textAlignment w:val="baseline"/>
        <w:rPr>
          <w:rFonts w:ascii="Century Gothic" w:hAnsi="Century Gothic"/>
          <w:color w:val="000000"/>
          <w:sz w:val="20"/>
          <w:szCs w:val="20"/>
        </w:rPr>
      </w:pPr>
      <w:r>
        <w:rPr>
          <w:rFonts w:ascii="Century Gothic" w:hAnsi="Century Gothic"/>
          <w:noProof/>
          <w:sz w:val="20"/>
          <w:szCs w:val="20"/>
        </w:rPr>
        <mc:AlternateContent>
          <mc:Choice Requires="wps">
            <w:drawing>
              <wp:anchor distT="0" distB="0" distL="0" distR="0" simplePos="0" relativeHeight="251678720" behindDoc="1" locked="0" layoutInCell="1" allowOverlap="1">
                <wp:simplePos x="0" y="0"/>
                <wp:positionH relativeFrom="column">
                  <wp:posOffset>30480</wp:posOffset>
                </wp:positionH>
                <wp:positionV relativeFrom="paragraph">
                  <wp:posOffset>0</wp:posOffset>
                </wp:positionV>
                <wp:extent cx="6800215" cy="21310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D6" w:rsidRDefault="001D4BD6" w:rsidP="001D4BD6">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pt;margin-top:0;width:535.45pt;height:167.8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aptAIAALE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" filled="f" stroked="f">
                <v:textbox inset="0,0,0,0">
                  <w:txbxContent>
                    <w:p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mc:Fallback>
        </mc:AlternateContent>
      </w:r>
    </w:p>
    <w:p w:rsidR="001D4BD6" w:rsidRPr="002F4005" w:rsidRDefault="001D4BD6" w:rsidP="001D4BD6">
      <w:pPr>
        <w:rPr>
          <w:rFonts w:ascii="Century Gothic" w:hAnsi="Century Gothic"/>
          <w:sz w:val="20"/>
          <w:szCs w:val="20"/>
        </w:rPr>
        <w:sectPr w:rsidR="001D4BD6" w:rsidRPr="002F4005">
          <w:type w:val="continuous"/>
          <w:pgSz w:w="11909" w:h="16843"/>
          <w:pgMar w:top="720" w:right="554" w:bottom="2387" w:left="552" w:header="720" w:footer="720" w:gutter="0"/>
          <w:cols w:space="720"/>
        </w:sectPr>
      </w:pPr>
    </w:p>
    <w:p w:rsidR="001D4BD6" w:rsidRPr="002F4005" w:rsidRDefault="001D4BD6" w:rsidP="001D4BD6">
      <w:pPr>
        <w:spacing w:before="55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rsidR="003A2E07" w:rsidRPr="002F4005" w:rsidRDefault="003A2E07" w:rsidP="003A2E07">
      <w:pPr>
        <w:spacing w:before="268"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rsidR="003A2E07" w:rsidRPr="003A2E07" w:rsidRDefault="003A2E07" w:rsidP="001D4BD6">
      <w:pPr>
        <w:spacing w:before="268" w:line="269" w:lineRule="exact"/>
        <w:ind w:left="144" w:right="144"/>
        <w:jc w:val="both"/>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rsidR="001D4BD6" w:rsidRPr="002F4005" w:rsidRDefault="001D4BD6" w:rsidP="001D4BD6">
      <w:pPr>
        <w:spacing w:before="268"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rsidR="003A2E07" w:rsidRDefault="001D4BD6" w:rsidP="003A2E07">
      <w:pPr>
        <w:spacing w:before="269"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rsidR="001D4BD6" w:rsidRPr="002F4005" w:rsidRDefault="001D4BD6" w:rsidP="003A2E07">
      <w:pPr>
        <w:spacing w:before="269"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rsidR="001D4BD6" w:rsidRDefault="001D4BD6" w:rsidP="001D4BD6">
      <w:pPr>
        <w:spacing w:before="267"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rsidR="003A2E07" w:rsidRPr="002F4005" w:rsidRDefault="003A2E07" w:rsidP="001D4BD6">
      <w:pPr>
        <w:spacing w:before="267" w:line="269" w:lineRule="exact"/>
        <w:ind w:left="144" w:right="144"/>
        <w:jc w:val="both"/>
        <w:textAlignment w:val="baseline"/>
        <w:rPr>
          <w:rFonts w:ascii="Century Gothic" w:eastAsia="Calibri" w:hAnsi="Century Gothic"/>
          <w:color w:val="000000"/>
          <w:sz w:val="20"/>
          <w:szCs w:val="20"/>
        </w:rPr>
      </w:pPr>
    </w:p>
    <w:p w:rsidR="001D4BD6" w:rsidRPr="002F4005" w:rsidRDefault="001D4BD6" w:rsidP="001D4BD6">
      <w:pPr>
        <w:spacing w:before="559"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rsidR="001D4BD6" w:rsidRPr="002F4005" w:rsidRDefault="001D4BD6" w:rsidP="001D4BD6">
      <w:pPr>
        <w:rPr>
          <w:rFonts w:ascii="Century Gothic" w:hAnsi="Century Gothic"/>
          <w:sz w:val="20"/>
          <w:szCs w:val="20"/>
        </w:rPr>
        <w:sectPr w:rsidR="001D4BD6" w:rsidRPr="002F4005">
          <w:type w:val="continuous"/>
          <w:pgSz w:w="11909" w:h="16843"/>
          <w:pgMar w:top="720" w:right="554" w:bottom="2387" w:left="555" w:header="720" w:footer="720" w:gutter="0"/>
          <w:cols w:space="720"/>
        </w:sectPr>
      </w:pPr>
    </w:p>
    <w:p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Déclaration sur l’honneur de l’indépendance du candidat et de sincérité du</w:t>
      </w:r>
    </w:p>
    <w:p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rsidR="001D4BD6" w:rsidRPr="002F4005" w:rsidRDefault="001D4BD6" w:rsidP="001D4BD6">
      <w:pPr>
        <w:spacing w:before="33"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rsidR="001D4BD6" w:rsidRPr="002F4005" w:rsidRDefault="001D4BD6" w:rsidP="001D4BD6">
      <w:pPr>
        <w:spacing w:before="319"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rsidR="001D4BD6" w:rsidRPr="002F4005" w:rsidRDefault="001D4BD6" w:rsidP="001D4BD6">
      <w:pPr>
        <w:spacing w:before="291"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rsidR="001D4BD6" w:rsidRPr="002F4005" w:rsidRDefault="001D4BD6" w:rsidP="001D4BD6">
      <w:pPr>
        <w:spacing w:before="153"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rsidR="001D4BD6" w:rsidRPr="002F4005" w:rsidRDefault="001D4BD6" w:rsidP="001D4BD6">
      <w:pPr>
        <w:spacing w:before="452"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rsidR="001D4BD6" w:rsidRPr="002F4005" w:rsidRDefault="001D4BD6" w:rsidP="001D4BD6">
      <w:pPr>
        <w:spacing w:before="292"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3A2E07" w:rsidRPr="002F4005"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rsidR="001D4BD6" w:rsidRPr="002F4005" w:rsidRDefault="001D4BD6" w:rsidP="001D4BD6">
      <w:pPr>
        <w:spacing w:before="304"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rsidR="001D4BD6" w:rsidRPr="002F4005" w:rsidRDefault="001D4BD6" w:rsidP="001D4BD6">
      <w:pPr>
        <w:spacing w:before="280"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rsidR="001D4BD6" w:rsidRPr="002F4005" w:rsidRDefault="001D4BD6" w:rsidP="001D4BD6">
      <w:pPr>
        <w:spacing w:before="310" w:line="228" w:lineRule="exact"/>
        <w:ind w:left="144"/>
        <w:textAlignment w:val="baseline"/>
        <w:rPr>
          <w:rFonts w:ascii="Century Gothic" w:eastAsia="Calibri" w:hAnsi="Century Gothic"/>
          <w:color w:val="000000"/>
          <w:spacing w:val="2"/>
          <w:sz w:val="20"/>
          <w:szCs w:val="20"/>
        </w:rPr>
      </w:pPr>
      <w:r w:rsidRPr="002F4005">
        <w:rPr>
          <w:rFonts w:ascii="Century Gothic" w:eastAsia="Calibri" w:hAnsi="Century Gothic"/>
          <w:color w:val="000000"/>
          <w:spacing w:val="2"/>
          <w:sz w:val="20"/>
          <w:szCs w:val="20"/>
        </w:rPr>
        <w:t>Fait à ...</w:t>
      </w:r>
    </w:p>
    <w:p w:rsidR="001D4BD6" w:rsidRPr="002F4005" w:rsidRDefault="001D4BD6" w:rsidP="001D4BD6">
      <w:pPr>
        <w:spacing w:before="41" w:line="228" w:lineRule="exact"/>
        <w:ind w:left="144"/>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Le ...</w:t>
      </w:r>
    </w:p>
    <w:p w:rsidR="001D4BD6" w:rsidRPr="002F4005" w:rsidRDefault="001D4BD6" w:rsidP="001D4BD6">
      <w:pPr>
        <w:spacing w:before="41" w:line="229" w:lineRule="exact"/>
        <w:jc w:val="center"/>
        <w:textAlignment w:val="baseline"/>
        <w:rPr>
          <w:rFonts w:ascii="Century Gothic" w:eastAsia="Calibri" w:hAnsi="Century Gothic"/>
          <w:b/>
          <w:color w:val="000000"/>
          <w:sz w:val="20"/>
          <w:szCs w:val="20"/>
          <w:u w:val="single"/>
        </w:rPr>
      </w:pP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rsidR="009A1A9B" w:rsidRPr="002F4005" w:rsidRDefault="009A1A9B" w:rsidP="001D4BD6">
      <w:pPr>
        <w:rPr>
          <w:rFonts w:ascii="Century Gothic" w:hAnsi="Century Gothic"/>
          <w:sz w:val="20"/>
          <w:szCs w:val="20"/>
        </w:rPr>
      </w:pPr>
    </w:p>
    <w:sectPr w:rsidR="009A1A9B"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F5" w:rsidRDefault="006E19F5">
      <w:r>
        <w:separator/>
      </w:r>
    </w:p>
  </w:endnote>
  <w:endnote w:type="continuationSeparator" w:id="0">
    <w:p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65" w:rsidRDefault="00323365">
    <w:pPr>
      <w:pStyle w:val="Pieddepage"/>
    </w:pPr>
    <w:r>
      <w:t>[Texte]</w:t>
    </w:r>
  </w:p>
  <w:p w:rsidR="006E19F5" w:rsidRDefault="006E19F5">
    <w:pPr>
      <w:pStyle w:val="Pieddepage"/>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F5" w:rsidRDefault="006E19F5">
      <w:r>
        <w:separator/>
      </w:r>
    </w:p>
  </w:footnote>
  <w:footnote w:type="continuationSeparator" w:id="0">
    <w:p w:rsidR="006E19F5" w:rsidRDefault="006E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1D4BD6"/>
    <w:rsid w:val="00217567"/>
    <w:rsid w:val="002D3886"/>
    <w:rsid w:val="002F4005"/>
    <w:rsid w:val="00323365"/>
    <w:rsid w:val="003A2E07"/>
    <w:rsid w:val="003B327B"/>
    <w:rsid w:val="003B4156"/>
    <w:rsid w:val="003B59D2"/>
    <w:rsid w:val="003D2549"/>
    <w:rsid w:val="00496896"/>
    <w:rsid w:val="00614C64"/>
    <w:rsid w:val="00695665"/>
    <w:rsid w:val="00696BF7"/>
    <w:rsid w:val="006E19F5"/>
    <w:rsid w:val="0076495B"/>
    <w:rsid w:val="007E6F25"/>
    <w:rsid w:val="00886C90"/>
    <w:rsid w:val="008977A0"/>
    <w:rsid w:val="009163DF"/>
    <w:rsid w:val="009A1A9B"/>
    <w:rsid w:val="00A60A95"/>
    <w:rsid w:val="00A65532"/>
    <w:rsid w:val="00A853D7"/>
    <w:rsid w:val="00B32E2B"/>
    <w:rsid w:val="00B331E4"/>
    <w:rsid w:val="00BA5DA3"/>
    <w:rsid w:val="00C257AD"/>
    <w:rsid w:val="00C3705D"/>
    <w:rsid w:val="00C64CAB"/>
    <w:rsid w:val="00C76252"/>
    <w:rsid w:val="00CF1C60"/>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strokecolor="none"/>
    </o:shapedefaults>
    <o:shapelayout v:ext="edit">
      <o:idmap v:ext="edit" data="1"/>
    </o:shapelayout>
  </w:shapeDefaults>
  <w:decimalSymbol w:val=","/>
  <w:listSeparator w:val=";"/>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31CA8B1-B6D6-4D9B-BEDF-EEE44EA8869E}">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8227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dc:title>
  <dc:subject/>
  <dc:creator>POSTE04</dc:creator>
  <cp:keywords/>
  <dc:description/>
  <cp:lastModifiedBy>Gaelle Billat</cp:lastModifiedBy>
  <cp:revision>2</cp:revision>
  <dcterms:created xsi:type="dcterms:W3CDTF">2023-03-09T22:13:00Z</dcterms:created>
  <dcterms:modified xsi:type="dcterms:W3CDTF">2023-03-09T22:13:00Z</dcterms:modified>
</cp:coreProperties>
</file>