
<file path=[Content_Types].xml><?xml version="1.0" encoding="utf-8"?>
<Types xmlns="http://schemas.openxmlformats.org/package/2006/content-types">
  <Default Extension="bin" ContentType="application/vnd.ms-word.attachedToolbars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7819" w:rsidRPr="00D534CD" w:rsidRDefault="003C7819">
      <w:pPr>
        <w:outlineLvl w:val="0"/>
        <w:rPr>
          <w:rFonts w:ascii="Century Gothic" w:hAnsi="Century Gothic"/>
        </w:rPr>
      </w:pPr>
      <w:bookmarkStart w:id="0" w:name="_GoBack"/>
      <w:bookmarkEnd w:id="0"/>
      <w:r w:rsidRPr="00D534CD">
        <w:rPr>
          <w:rFonts w:ascii="Century Gothic" w:hAnsi="Century Gothic"/>
        </w:rPr>
        <w:t xml:space="preserve">GREFFE N° </w:t>
      </w:r>
      <w:bookmarkStart w:id="1" w:name="SAFFAIRE_REFTRIB1_0"/>
      <w:r w:rsidRPr="00D534CD">
        <w:rPr>
          <w:rFonts w:ascii="Century Gothic" w:hAnsi="Century Gothic"/>
        </w:rPr>
        <w:t>2023J00067</w:t>
      </w:r>
      <w:bookmarkEnd w:id="1"/>
      <w:r w:rsidRPr="00D534CD">
        <w:rPr>
          <w:rFonts w:ascii="Century Gothic" w:hAnsi="Century Gothic"/>
        </w:rPr>
        <w:t xml:space="preserve"> </w:t>
      </w:r>
    </w:p>
    <w:p w:rsidR="003C7819" w:rsidRPr="00D534CD" w:rsidRDefault="00485E74">
      <w:pPr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LL</w:t>
      </w:r>
      <w:r w:rsidR="003C7819" w:rsidRPr="00D534CD">
        <w:rPr>
          <w:rFonts w:ascii="Century Gothic" w:hAnsi="Century Gothic"/>
        </w:rPr>
        <w:t>/</w:t>
      </w:r>
      <w:bookmarkStart w:id="2" w:name="SUTILISA_NUMERO_0"/>
      <w:r w:rsidR="003C7819" w:rsidRPr="00D534CD">
        <w:rPr>
          <w:rFonts w:ascii="Century Gothic" w:hAnsi="Century Gothic"/>
        </w:rPr>
        <w:t>CC</w:t>
      </w:r>
      <w:bookmarkEnd w:id="2"/>
      <w:r w:rsidR="003C7819" w:rsidRPr="00D534CD">
        <w:rPr>
          <w:rFonts w:ascii="Century Gothic" w:hAnsi="Century Gothic"/>
        </w:rPr>
        <w:t xml:space="preserve">  N° </w:t>
      </w:r>
      <w:bookmarkStart w:id="3" w:name="SAFFAIRE_NUMERO_0"/>
      <w:r w:rsidR="003C7819" w:rsidRPr="00D534CD">
        <w:rPr>
          <w:rFonts w:ascii="Century Gothic" w:hAnsi="Century Gothic"/>
        </w:rPr>
        <w:t>7905</w:t>
      </w:r>
      <w:bookmarkEnd w:id="3"/>
      <w:r w:rsidR="003C7819" w:rsidRPr="00D534CD">
        <w:rPr>
          <w:rFonts w:ascii="Century Gothic" w:hAnsi="Century Gothic"/>
        </w:rPr>
        <w:t xml:space="preserve">  </w:t>
      </w:r>
    </w:p>
    <w:p w:rsidR="003C7819" w:rsidRDefault="003C7819">
      <w:pPr>
        <w:rPr>
          <w:rFonts w:ascii="Century Gothic" w:hAnsi="Century Gothic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9212"/>
      </w:tblGrid>
      <w:tr w:rsidR="001970B4" w:rsidTr="001970B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</w:tcPr>
          <w:p w:rsidR="001970B4" w:rsidRPr="00485E74" w:rsidRDefault="001970B4" w:rsidP="001970B4">
            <w:pPr>
              <w:jc w:val="center"/>
              <w:outlineLvl w:val="0"/>
              <w:rPr>
                <w:rFonts w:ascii="Century Gothic" w:hAnsi="Century Gothic"/>
                <w:b/>
                <w:sz w:val="22"/>
                <w:szCs w:val="22"/>
              </w:rPr>
            </w:pPr>
            <w:r w:rsidRPr="00485E74">
              <w:rPr>
                <w:rFonts w:ascii="Century Gothic" w:hAnsi="Century Gothic"/>
                <w:b/>
                <w:sz w:val="22"/>
                <w:szCs w:val="22"/>
              </w:rPr>
              <w:t>ENTREPRISE EN LIQUIDATION JUDICIAIRE</w:t>
            </w:r>
          </w:p>
          <w:p w:rsidR="001970B4" w:rsidRPr="00485E74" w:rsidRDefault="001970B4" w:rsidP="001970B4">
            <w:pPr>
              <w:jc w:val="center"/>
              <w:rPr>
                <w:rFonts w:ascii="Century Gothic" w:hAnsi="Century Gothic"/>
                <w:sz w:val="28"/>
                <w:szCs w:val="28"/>
              </w:rPr>
            </w:pPr>
            <w:r w:rsidRPr="00485E74">
              <w:rPr>
                <w:rFonts w:ascii="Century Gothic" w:hAnsi="Century Gothic"/>
                <w:b/>
                <w:color w:val="4F81BD"/>
                <w:sz w:val="28"/>
                <w:szCs w:val="28"/>
              </w:rPr>
              <w:t>DESCRIPTIF</w:t>
            </w:r>
          </w:p>
        </w:tc>
      </w:tr>
    </w:tbl>
    <w:p w:rsidR="003C7819" w:rsidRPr="00D534CD" w:rsidRDefault="003C7819">
      <w:pPr>
        <w:rPr>
          <w:rFonts w:ascii="Century Gothic" w:hAnsi="Century Gothic"/>
        </w:rPr>
      </w:pPr>
    </w:p>
    <w:p w:rsidR="00B2564B" w:rsidRPr="00485E74" w:rsidRDefault="009420A7" w:rsidP="009420A7">
      <w:pPr>
        <w:rPr>
          <w:rFonts w:ascii="Century Gothic" w:hAnsi="Century Gothic"/>
          <w:sz w:val="18"/>
          <w:szCs w:val="18"/>
        </w:rPr>
      </w:pPr>
      <w:r w:rsidRPr="00485E74">
        <w:rPr>
          <w:rFonts w:ascii="Century Gothic" w:hAnsi="Century Gothic"/>
          <w:sz w:val="18"/>
          <w:szCs w:val="18"/>
        </w:rPr>
        <w:t xml:space="preserve">Je, soussignée </w:t>
      </w:r>
      <w:r w:rsidR="00B2564B" w:rsidRPr="00485E74">
        <w:rPr>
          <w:rFonts w:ascii="Century Gothic" w:hAnsi="Century Gothic"/>
          <w:sz w:val="18"/>
          <w:szCs w:val="18"/>
        </w:rPr>
        <w:t>Maître Laëtitia LUCAS-DABADIE,</w:t>
      </w:r>
    </w:p>
    <w:p w:rsidR="008031D5" w:rsidRPr="00485E74" w:rsidRDefault="008031D5" w:rsidP="009420A7">
      <w:pPr>
        <w:rPr>
          <w:rFonts w:ascii="Century Gothic" w:hAnsi="Century Gothic"/>
          <w:sz w:val="18"/>
          <w:szCs w:val="18"/>
        </w:rPr>
      </w:pPr>
    </w:p>
    <w:p w:rsidR="003C7819" w:rsidRPr="00485E74" w:rsidRDefault="00485E74" w:rsidP="00485E74">
      <w:pPr>
        <w:jc w:val="both"/>
        <w:rPr>
          <w:rFonts w:ascii="Century Gothic" w:hAnsi="Century Gothic"/>
          <w:sz w:val="18"/>
          <w:szCs w:val="18"/>
        </w:rPr>
      </w:pPr>
      <w:r>
        <w:rPr>
          <w:rFonts w:ascii="Century Gothic" w:hAnsi="Century Gothic"/>
          <w:sz w:val="18"/>
          <w:szCs w:val="18"/>
        </w:rPr>
        <w:t xml:space="preserve">Gérante </w:t>
      </w:r>
      <w:r w:rsidR="00B2564B" w:rsidRPr="00485E74">
        <w:rPr>
          <w:rFonts w:ascii="Century Gothic" w:hAnsi="Century Gothic"/>
          <w:sz w:val="18"/>
          <w:szCs w:val="18"/>
        </w:rPr>
        <w:t xml:space="preserve">de la </w:t>
      </w:r>
      <w:r w:rsidR="009420A7" w:rsidRPr="00485E74">
        <w:rPr>
          <w:rFonts w:ascii="Century Gothic" w:hAnsi="Century Gothic"/>
          <w:sz w:val="18"/>
          <w:szCs w:val="18"/>
        </w:rPr>
        <w:t xml:space="preserve">SELARL </w:t>
      </w:r>
      <w:r w:rsidR="00D11B2F" w:rsidRPr="00485E74">
        <w:rPr>
          <w:rFonts w:ascii="Century Gothic" w:hAnsi="Century Gothic"/>
          <w:sz w:val="18"/>
          <w:szCs w:val="18"/>
        </w:rPr>
        <w:t>PHILAE</w:t>
      </w:r>
      <w:r w:rsidR="008031D5" w:rsidRPr="00485E74">
        <w:rPr>
          <w:rFonts w:ascii="Century Gothic" w:hAnsi="Century Gothic"/>
          <w:sz w:val="18"/>
          <w:szCs w:val="18"/>
        </w:rPr>
        <w:t xml:space="preserve">, </w:t>
      </w:r>
      <w:r w:rsidR="003C7819" w:rsidRPr="00485E74">
        <w:rPr>
          <w:rFonts w:ascii="Century Gothic" w:hAnsi="Century Gothic"/>
          <w:sz w:val="18"/>
          <w:szCs w:val="18"/>
        </w:rPr>
        <w:t xml:space="preserve">Mandataire </w:t>
      </w:r>
      <w:r w:rsidR="008031D5" w:rsidRPr="00485E74">
        <w:rPr>
          <w:rFonts w:ascii="Century Gothic" w:hAnsi="Century Gothic"/>
          <w:sz w:val="18"/>
          <w:szCs w:val="18"/>
        </w:rPr>
        <w:t xml:space="preserve">judiciaire, </w:t>
      </w:r>
      <w:r w:rsidR="003C7819" w:rsidRPr="00485E74">
        <w:rPr>
          <w:rFonts w:ascii="Century Gothic" w:hAnsi="Century Gothic"/>
          <w:sz w:val="18"/>
          <w:szCs w:val="18"/>
        </w:rPr>
        <w:t>désignée à ces fonctions par jugement du Tribunal de Commerce de</w:t>
      </w:r>
      <w:r w:rsidR="008031D5" w:rsidRPr="00485E74">
        <w:rPr>
          <w:rFonts w:ascii="Century Gothic" w:hAnsi="Century Gothic"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sz w:val="18"/>
          <w:szCs w:val="18"/>
        </w:rPr>
        <w:t xml:space="preserve">BORDEAUX en date du </w:t>
      </w:r>
      <w:bookmarkStart w:id="4" w:name="SAFFAIRE_LJDP_0"/>
      <w:r w:rsidR="003C7819" w:rsidRPr="00485E74">
        <w:rPr>
          <w:rFonts w:ascii="Century Gothic" w:hAnsi="Century Gothic"/>
          <w:sz w:val="18"/>
          <w:szCs w:val="18"/>
        </w:rPr>
        <w:t>22/03/2023</w:t>
      </w:r>
      <w:bookmarkEnd w:id="4"/>
      <w:r w:rsidR="003C7819" w:rsidRPr="00485E74">
        <w:rPr>
          <w:rFonts w:ascii="Century Gothic" w:hAnsi="Century Gothic"/>
          <w:sz w:val="18"/>
          <w:szCs w:val="18"/>
        </w:rPr>
        <w:t xml:space="preserve"> </w:t>
      </w:r>
      <w:r w:rsidR="003C7819" w:rsidRPr="005B2D15">
        <w:rPr>
          <w:rFonts w:ascii="Century Gothic" w:hAnsi="Century Gothic"/>
          <w:sz w:val="18"/>
          <w:szCs w:val="18"/>
        </w:rPr>
        <w:t xml:space="preserve">sur conversion d’un jugement de redressement judiciaire préalablement prononcé en date du </w:t>
      </w:r>
      <w:bookmarkStart w:id="5" w:name="SAFFAIRE_RJDP_0"/>
      <w:r w:rsidR="003C7819" w:rsidRPr="005B2D15">
        <w:rPr>
          <w:rFonts w:ascii="Century Gothic" w:hAnsi="Century Gothic"/>
          <w:sz w:val="18"/>
          <w:szCs w:val="18"/>
        </w:rPr>
        <w:t>18/01/2023</w:t>
      </w:r>
      <w:bookmarkEnd w:id="5"/>
      <w:r w:rsidR="003C7819" w:rsidRPr="00485E74">
        <w:rPr>
          <w:rFonts w:ascii="Century Gothic" w:hAnsi="Century Gothic"/>
          <w:i/>
          <w:sz w:val="18"/>
          <w:szCs w:val="18"/>
        </w:rPr>
        <w:t xml:space="preserve"> </w:t>
      </w:r>
      <w:r w:rsidR="003C7819" w:rsidRPr="00485E74">
        <w:rPr>
          <w:rFonts w:ascii="Century Gothic" w:hAnsi="Century Gothic"/>
          <w:sz w:val="18"/>
          <w:szCs w:val="18"/>
        </w:rPr>
        <w:t>dans le cadre de la :</w:t>
      </w:r>
    </w:p>
    <w:p w:rsidR="003C7819" w:rsidRPr="00485E74" w:rsidRDefault="003C7819">
      <w:pPr>
        <w:jc w:val="both"/>
        <w:rPr>
          <w:rFonts w:ascii="Century Gothic" w:hAnsi="Century Gothic"/>
          <w:sz w:val="18"/>
          <w:szCs w:val="18"/>
        </w:rPr>
      </w:pPr>
    </w:p>
    <w:p w:rsidR="003C7819" w:rsidRPr="00485E74" w:rsidRDefault="003C7819" w:rsidP="008031D5">
      <w:pPr>
        <w:jc w:val="center"/>
        <w:outlineLvl w:val="0"/>
        <w:rPr>
          <w:rFonts w:ascii="Century Gothic" w:hAnsi="Century Gothic"/>
          <w:b/>
          <w:sz w:val="22"/>
          <w:szCs w:val="22"/>
        </w:rPr>
      </w:pPr>
      <w:r w:rsidRPr="00485E74">
        <w:rPr>
          <w:rFonts w:ascii="Century Gothic" w:hAnsi="Century Gothic"/>
          <w:b/>
          <w:sz w:val="22"/>
          <w:szCs w:val="22"/>
        </w:rPr>
        <w:t>LIQUIDATION JUDICIAIRE de la</w:t>
      </w:r>
      <w:bookmarkStart w:id="6" w:name="SAFFAIRE_ABREVIALIB_0"/>
      <w:r w:rsidR="00485E74" w:rsidRPr="00485E74">
        <w:rPr>
          <w:rFonts w:ascii="Century Gothic" w:hAnsi="Century Gothic"/>
          <w:b/>
          <w:sz w:val="22"/>
          <w:szCs w:val="22"/>
        </w:rPr>
        <w:t xml:space="preserve"> </w:t>
      </w:r>
      <w:bookmarkEnd w:id="6"/>
      <w:r w:rsidRPr="00485E74">
        <w:rPr>
          <w:rFonts w:ascii="Century Gothic" w:hAnsi="Century Gothic"/>
          <w:b/>
          <w:sz w:val="22"/>
          <w:szCs w:val="22"/>
        </w:rPr>
        <w:t xml:space="preserve"> </w:t>
      </w:r>
      <w:bookmarkStart w:id="7" w:name="SAFFAIRE_NOM_0"/>
      <w:r w:rsidRPr="00485E74">
        <w:rPr>
          <w:rFonts w:ascii="Century Gothic" w:hAnsi="Century Gothic"/>
          <w:b/>
          <w:sz w:val="22"/>
          <w:szCs w:val="22"/>
        </w:rPr>
        <w:t>SAS AU TOP DU ROULIER DE LIMOGES</w:t>
      </w:r>
      <w:bookmarkEnd w:id="7"/>
    </w:p>
    <w:p w:rsidR="003C7819" w:rsidRPr="00485E74" w:rsidRDefault="003C7819" w:rsidP="008031D5">
      <w:pPr>
        <w:jc w:val="center"/>
        <w:rPr>
          <w:rFonts w:ascii="Century Gothic" w:hAnsi="Century Gothic"/>
          <w:b/>
        </w:rPr>
      </w:pPr>
      <w:bookmarkStart w:id="8" w:name="SAFFAIRE_ACTIVITE_0"/>
      <w:r w:rsidRPr="00485E74">
        <w:rPr>
          <w:rFonts w:ascii="Century Gothic" w:hAnsi="Century Gothic"/>
          <w:b/>
        </w:rPr>
        <w:t>Restaurant, brasserie, plats à emporter, bar, café et notamment l'exploitation du restaurant du centre routier</w:t>
      </w:r>
      <w:bookmarkEnd w:id="8"/>
    </w:p>
    <w:p w:rsidR="003C7819" w:rsidRPr="00D534CD" w:rsidRDefault="003C7819" w:rsidP="008031D5">
      <w:pPr>
        <w:jc w:val="center"/>
        <w:rPr>
          <w:rFonts w:ascii="Century Gothic" w:hAnsi="Century Gothic"/>
        </w:rPr>
      </w:pPr>
      <w:bookmarkStart w:id="9" w:name="SAFFAIRE_RUE1_0"/>
      <w:r w:rsidRPr="00D534CD">
        <w:rPr>
          <w:rFonts w:ascii="Century Gothic" w:hAnsi="Century Gothic"/>
        </w:rPr>
        <w:t>Rue Frédéric Bastiat</w:t>
      </w:r>
      <w:bookmarkEnd w:id="9"/>
      <w:r w:rsidRPr="00D534CD">
        <w:rPr>
          <w:rFonts w:ascii="Century Gothic" w:hAnsi="Century Gothic"/>
        </w:rPr>
        <w:t xml:space="preserve"> </w:t>
      </w:r>
      <w:bookmarkStart w:id="10" w:name="SAFFAIRE_RUE2_0"/>
      <w:r w:rsidRPr="00D534CD">
        <w:rPr>
          <w:rFonts w:ascii="Century Gothic" w:hAnsi="Century Gothic"/>
        </w:rPr>
        <w:t>ZI Nord</w:t>
      </w:r>
      <w:bookmarkStart w:id="11" w:name="SAFFAIRE_CODPOST_0"/>
      <w:bookmarkEnd w:id="10"/>
      <w:r w:rsidR="005B2D15"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87280</w:t>
      </w:r>
      <w:bookmarkEnd w:id="11"/>
      <w:r w:rsidRPr="00D534CD">
        <w:rPr>
          <w:rFonts w:ascii="Century Gothic" w:hAnsi="Century Gothic"/>
        </w:rPr>
        <w:t xml:space="preserve"> </w:t>
      </w:r>
      <w:bookmarkStart w:id="12" w:name="SAFFAIRE_BURDIS_0"/>
      <w:r w:rsidRPr="00D534CD">
        <w:rPr>
          <w:rFonts w:ascii="Century Gothic" w:hAnsi="Century Gothic"/>
        </w:rPr>
        <w:t>LIMOGES</w:t>
      </w:r>
      <w:bookmarkEnd w:id="12"/>
    </w:p>
    <w:p w:rsidR="003C7819" w:rsidRPr="00D534CD" w:rsidRDefault="003C7819">
      <w:pPr>
        <w:jc w:val="both"/>
        <w:rPr>
          <w:rFonts w:ascii="Century Gothic" w:hAnsi="Century Gothic"/>
        </w:rPr>
      </w:pPr>
    </w:p>
    <w:p w:rsidR="00485E74" w:rsidRDefault="00485E74" w:rsidP="00485E74">
      <w:pPr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  <w:b/>
        </w:rPr>
        <w:t>DECLARE</w:t>
      </w:r>
      <w:r w:rsidRPr="00D534CD">
        <w:rPr>
          <w:rFonts w:ascii="Century Gothic" w:hAnsi="Century Gothic"/>
        </w:rPr>
        <w:t xml:space="preserve"> que sont susceptibles d’être cédés</w:t>
      </w:r>
      <w:r>
        <w:rPr>
          <w:rFonts w:ascii="Century Gothic" w:hAnsi="Century Gothic"/>
        </w:rPr>
        <w:t xml:space="preserve"> les</w:t>
      </w:r>
      <w:r w:rsidRPr="00D534CD">
        <w:rPr>
          <w:rFonts w:ascii="Century Gothic" w:hAnsi="Century Gothic"/>
        </w:rPr>
        <w:t xml:space="preserve"> éléments d’actif</w:t>
      </w:r>
      <w:r>
        <w:rPr>
          <w:rFonts w:ascii="Century Gothic" w:hAnsi="Century Gothic"/>
        </w:rPr>
        <w:t>s</w:t>
      </w:r>
      <w:r w:rsidRPr="00D534CD">
        <w:rPr>
          <w:rFonts w:ascii="Century Gothic" w:hAnsi="Century Gothic"/>
        </w:rPr>
        <w:t xml:space="preserve"> de cette entreprise dont les caractéristiques</w:t>
      </w:r>
      <w:r>
        <w:rPr>
          <w:rFonts w:ascii="Century Gothic" w:hAnsi="Century Gothic"/>
        </w:rPr>
        <w:t xml:space="preserve"> </w:t>
      </w:r>
      <w:r w:rsidRPr="00D534CD">
        <w:rPr>
          <w:rFonts w:ascii="Century Gothic" w:hAnsi="Century Gothic"/>
        </w:rPr>
        <w:t>essentielles sont les suivantes :</w:t>
      </w:r>
    </w:p>
    <w:p w:rsidR="005B2D15" w:rsidRPr="00D534CD" w:rsidRDefault="005B2D15" w:rsidP="00485E74">
      <w:pPr>
        <w:jc w:val="both"/>
        <w:outlineLvl w:val="0"/>
        <w:rPr>
          <w:rFonts w:ascii="Century Gothic" w:hAnsi="Century Gothic"/>
        </w:rPr>
      </w:pPr>
    </w:p>
    <w:p w:rsidR="00485E74" w:rsidRPr="00D534CD" w:rsidRDefault="00AB485F" w:rsidP="005B2D15">
      <w:pPr>
        <w:jc w:val="center"/>
        <w:rPr>
          <w:rFonts w:ascii="Century Gothic" w:hAnsi="Century Gothic"/>
        </w:rPr>
      </w:pPr>
      <w:r>
        <w:rPr>
          <w:noProof/>
        </w:rPr>
        <w:drawing>
          <wp:inline distT="0" distB="0" distL="0" distR="0">
            <wp:extent cx="3260725" cy="1992630"/>
            <wp:effectExtent l="0" t="0" r="0" b="762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5E74" w:rsidRDefault="00485E74">
      <w:pPr>
        <w:jc w:val="both"/>
        <w:outlineLvl w:val="0"/>
        <w:rPr>
          <w:rFonts w:ascii="Century Gothic" w:hAnsi="Century Gothic"/>
        </w:rPr>
      </w:pPr>
    </w:p>
    <w:tbl>
      <w:tblPr>
        <w:tblStyle w:val="Grilledutableau"/>
        <w:tblW w:w="0" w:type="auto"/>
        <w:shd w:val="clear" w:color="auto" w:fill="DBE5F1" w:themeFill="accent1" w:themeFillTint="33"/>
        <w:tblLook w:val="04A0" w:firstRow="1" w:lastRow="0" w:firstColumn="1" w:lastColumn="0" w:noHBand="0" w:noVBand="1"/>
      </w:tblPr>
      <w:tblGrid>
        <w:gridCol w:w="9212"/>
      </w:tblGrid>
      <w:tr w:rsidR="008031D5" w:rsidTr="00485E74">
        <w:tc>
          <w:tcPr>
            <w:tcW w:w="9212" w:type="dxa"/>
            <w:tcBorders>
              <w:top w:val="single" w:sz="12" w:space="0" w:color="4F81BD" w:themeColor="accent1"/>
              <w:left w:val="single" w:sz="12" w:space="0" w:color="4F81BD" w:themeColor="accent1"/>
              <w:bottom w:val="single" w:sz="12" w:space="0" w:color="4F81BD" w:themeColor="accent1"/>
              <w:right w:val="single" w:sz="12" w:space="0" w:color="4F81BD" w:themeColor="accent1"/>
            </w:tcBorders>
            <w:shd w:val="clear" w:color="auto" w:fill="DBE5F1" w:themeFill="accent1" w:themeFillTint="33"/>
          </w:tcPr>
          <w:p w:rsidR="00485E74" w:rsidRPr="005B2D15" w:rsidRDefault="008031D5" w:rsidP="00485E7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b/>
                <w:sz w:val="18"/>
                <w:szCs w:val="18"/>
              </w:rPr>
              <w:t xml:space="preserve">FONDS DE COMMERCE de </w:t>
            </w:r>
            <w:bookmarkStart w:id="13" w:name="SAFFAIRE_ACTIVITE_2"/>
            <w:r w:rsidRPr="005B2D15">
              <w:rPr>
                <w:rFonts w:ascii="Century Gothic" w:hAnsi="Century Gothic"/>
                <w:b/>
                <w:sz w:val="18"/>
                <w:szCs w:val="18"/>
              </w:rPr>
              <w:t>Restaurant, brasserie, plats à emporter, bar, café et notamment l'exploitation du restaurant du centre routier</w:t>
            </w:r>
            <w:bookmarkEnd w:id="13"/>
          </w:p>
          <w:p w:rsidR="008031D5" w:rsidRPr="005B2D15" w:rsidRDefault="008031D5" w:rsidP="00485E74">
            <w:pPr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 xml:space="preserve">situé </w:t>
            </w:r>
            <w:bookmarkStart w:id="14" w:name="SAFFAIRE_RUE1_1"/>
            <w:r w:rsidRPr="005B2D15">
              <w:rPr>
                <w:rFonts w:ascii="Century Gothic" w:hAnsi="Century Gothic"/>
                <w:sz w:val="18"/>
                <w:szCs w:val="18"/>
              </w:rPr>
              <w:t>Rue Frédéric Bastiat</w:t>
            </w:r>
            <w:bookmarkEnd w:id="14"/>
            <w:r w:rsidRPr="005B2D1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bookmarkStart w:id="15" w:name="SAFFAIRE_RUE2_1"/>
            <w:r w:rsidRPr="005B2D15">
              <w:rPr>
                <w:rFonts w:ascii="Century Gothic" w:hAnsi="Century Gothic"/>
                <w:sz w:val="18"/>
                <w:szCs w:val="18"/>
              </w:rPr>
              <w:t>ZI Nord</w:t>
            </w:r>
            <w:bookmarkEnd w:id="15"/>
            <w:r w:rsidRPr="005B2D1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bookmarkStart w:id="16" w:name="SAFFAIRE_CODPOST_1"/>
            <w:r w:rsidRPr="005B2D15">
              <w:rPr>
                <w:rFonts w:ascii="Century Gothic" w:hAnsi="Century Gothic"/>
                <w:sz w:val="18"/>
                <w:szCs w:val="18"/>
              </w:rPr>
              <w:t>87280</w:t>
            </w:r>
            <w:bookmarkEnd w:id="16"/>
            <w:r w:rsidRPr="005B2D1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bookmarkStart w:id="17" w:name="SAFFAIRE_BURDIS_1"/>
            <w:r w:rsidRPr="005B2D15">
              <w:rPr>
                <w:rFonts w:ascii="Century Gothic" w:hAnsi="Century Gothic"/>
                <w:sz w:val="18"/>
                <w:szCs w:val="18"/>
              </w:rPr>
              <w:t>LIMOGES</w:t>
            </w:r>
            <w:bookmarkEnd w:id="17"/>
            <w:r w:rsidRPr="005B2D15">
              <w:rPr>
                <w:rFonts w:ascii="Century Gothic" w:hAnsi="Century Gothic"/>
                <w:sz w:val="18"/>
                <w:szCs w:val="18"/>
              </w:rPr>
              <w:t xml:space="preserve"> composé de :</w:t>
            </w:r>
          </w:p>
          <w:p w:rsidR="008031D5" w:rsidRPr="005B2D15" w:rsidRDefault="008031D5" w:rsidP="008031D5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8031D5" w:rsidRPr="005B2D1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  <w:u w:val="single"/>
              </w:rPr>
              <w:t>Eléments incorporels</w:t>
            </w:r>
            <w:r w:rsidRPr="005B2D15">
              <w:rPr>
                <w:rFonts w:ascii="Century Gothic" w:hAnsi="Century Gothic"/>
                <w:sz w:val="18"/>
                <w:szCs w:val="18"/>
              </w:rPr>
              <w:t xml:space="preserve"> : </w:t>
            </w:r>
          </w:p>
          <w:p w:rsidR="008031D5" w:rsidRPr="005B2D15" w:rsidRDefault="008031D5" w:rsidP="008031D5">
            <w:pPr>
              <w:ind w:left="765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8031D5" w:rsidRPr="005B2D15" w:rsidRDefault="008031D5" w:rsidP="008031D5">
            <w:pPr>
              <w:ind w:left="405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 xml:space="preserve">. nom commercial </w:t>
            </w:r>
            <w:bookmarkStart w:id="18" w:name="SAFFAIRE_ENSEIGNE_0"/>
            <w:bookmarkEnd w:id="18"/>
          </w:p>
          <w:p w:rsidR="008031D5" w:rsidRPr="005B2D15" w:rsidRDefault="008031D5" w:rsidP="008031D5">
            <w:pPr>
              <w:ind w:left="405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. chalandise</w:t>
            </w:r>
          </w:p>
          <w:p w:rsidR="008031D5" w:rsidRPr="005B2D15" w:rsidRDefault="008031D5" w:rsidP="008031D5">
            <w:pPr>
              <w:ind w:left="405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. clientèle</w:t>
            </w:r>
          </w:p>
          <w:p w:rsidR="008031D5" w:rsidRPr="005B2D15" w:rsidRDefault="008031D5" w:rsidP="005B2D15">
            <w:pPr>
              <w:ind w:left="567" w:hanging="162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 xml:space="preserve">. droit au bail du local situé </w:t>
            </w:r>
            <w:bookmarkStart w:id="19" w:name="SAFFAIRE_RUE1_2"/>
            <w:r w:rsidRPr="005B2D15">
              <w:rPr>
                <w:rFonts w:ascii="Century Gothic" w:hAnsi="Century Gothic"/>
                <w:sz w:val="18"/>
                <w:szCs w:val="18"/>
              </w:rPr>
              <w:t>Rue Frédéric Bastiat</w:t>
            </w:r>
            <w:bookmarkEnd w:id="19"/>
            <w:r w:rsidRPr="005B2D1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bookmarkStart w:id="20" w:name="SAFFAIRE_RUE2_2"/>
            <w:r w:rsidRPr="005B2D15">
              <w:rPr>
                <w:rFonts w:ascii="Century Gothic" w:hAnsi="Century Gothic"/>
                <w:sz w:val="18"/>
                <w:szCs w:val="18"/>
              </w:rPr>
              <w:t>ZI Nord</w:t>
            </w:r>
            <w:bookmarkEnd w:id="20"/>
            <w:r w:rsidRPr="005B2D1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bookmarkStart w:id="21" w:name="SAFFAIRE_CODPOST_2"/>
            <w:r w:rsidRPr="005B2D15">
              <w:rPr>
                <w:rFonts w:ascii="Century Gothic" w:hAnsi="Century Gothic"/>
                <w:sz w:val="18"/>
                <w:szCs w:val="18"/>
              </w:rPr>
              <w:t>87280</w:t>
            </w:r>
            <w:bookmarkEnd w:id="21"/>
            <w:r w:rsidRPr="005B2D15">
              <w:rPr>
                <w:rFonts w:ascii="Century Gothic" w:hAnsi="Century Gothic"/>
                <w:sz w:val="18"/>
                <w:szCs w:val="18"/>
              </w:rPr>
              <w:t xml:space="preserve"> </w:t>
            </w:r>
            <w:r w:rsidR="005B2D15" w:rsidRPr="005B2D15">
              <w:rPr>
                <w:rFonts w:ascii="Century Gothic" w:hAnsi="Century Gothic"/>
                <w:sz w:val="18"/>
                <w:szCs w:val="18"/>
              </w:rPr>
              <w:t>LIMOGES, commençant</w:t>
            </w:r>
            <w:r w:rsidRPr="005B2D15">
              <w:rPr>
                <w:rFonts w:ascii="Century Gothic" w:hAnsi="Century Gothic"/>
                <w:sz w:val="18"/>
                <w:szCs w:val="18"/>
              </w:rPr>
              <w:t xml:space="preserve"> à courir l</w:t>
            </w:r>
            <w:r w:rsidR="00485E74" w:rsidRPr="005B2D15">
              <w:rPr>
                <w:rFonts w:ascii="Century Gothic" w:hAnsi="Century Gothic"/>
                <w:sz w:val="18"/>
                <w:szCs w:val="18"/>
              </w:rPr>
              <w:t>e</w:t>
            </w:r>
            <w:r w:rsidR="005B2D15" w:rsidRPr="005B2D15">
              <w:rPr>
                <w:rFonts w:ascii="Century Gothic" w:hAnsi="Century Gothic"/>
                <w:sz w:val="18"/>
                <w:szCs w:val="18"/>
              </w:rPr>
              <w:t xml:space="preserve"> 01.10.2005</w:t>
            </w:r>
            <w:r w:rsidR="00485E74" w:rsidRPr="005B2D15">
              <w:rPr>
                <w:rFonts w:ascii="Century Gothic" w:hAnsi="Century Gothic"/>
                <w:sz w:val="18"/>
                <w:szCs w:val="18"/>
              </w:rPr>
              <w:t xml:space="preserve"> pour se terminer le</w:t>
            </w:r>
            <w:r w:rsidR="005B2D15" w:rsidRPr="005B2D15">
              <w:rPr>
                <w:rFonts w:ascii="Century Gothic" w:hAnsi="Century Gothic"/>
                <w:sz w:val="18"/>
                <w:szCs w:val="18"/>
              </w:rPr>
              <w:t xml:space="preserve"> 30.09.2014 avec reconduction tacite</w:t>
            </w:r>
            <w:r w:rsidRPr="005B2D15">
              <w:rPr>
                <w:rFonts w:ascii="Century Gothic" w:hAnsi="Century Gothic"/>
                <w:sz w:val="18"/>
                <w:szCs w:val="18"/>
              </w:rPr>
              <w:t xml:space="preserve">, se décomposant comme suit : </w:t>
            </w:r>
            <w:r w:rsidR="005B2D15" w:rsidRPr="005B2D15">
              <w:rPr>
                <w:rFonts w:ascii="Century Gothic" w:hAnsi="Century Gothic"/>
                <w:sz w:val="18"/>
                <w:szCs w:val="18"/>
              </w:rPr>
              <w:t>local à usage de restaurant consistant en un bâtiment sur un niveau d’une superficie totale de 424 m²</w:t>
            </w:r>
          </w:p>
          <w:p w:rsidR="008031D5" w:rsidRPr="005B2D15" w:rsidRDefault="005B2D15" w:rsidP="008031D5">
            <w:pPr>
              <w:ind w:left="567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Loyer</w:t>
            </w:r>
            <w:r w:rsidR="008031D5" w:rsidRPr="005B2D15">
              <w:rPr>
                <w:rFonts w:ascii="Century Gothic" w:hAnsi="Century Gothic"/>
                <w:sz w:val="18"/>
                <w:szCs w:val="18"/>
              </w:rPr>
              <w:t xml:space="preserve">: </w:t>
            </w:r>
            <w:r w:rsidRPr="005B2D15">
              <w:rPr>
                <w:rFonts w:ascii="Century Gothic" w:hAnsi="Century Gothic"/>
                <w:sz w:val="18"/>
                <w:szCs w:val="18"/>
              </w:rPr>
              <w:t>62 068.76 € HT annuel</w:t>
            </w:r>
          </w:p>
          <w:p w:rsidR="008031D5" w:rsidRPr="005B2D15" w:rsidRDefault="00485E74" w:rsidP="008031D5">
            <w:pPr>
              <w:ind w:left="567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 xml:space="preserve">Destination : </w:t>
            </w:r>
            <w:r w:rsidR="005B2D15" w:rsidRPr="005B2D15">
              <w:rPr>
                <w:rFonts w:ascii="Century Gothic" w:hAnsi="Century Gothic"/>
                <w:sz w:val="18"/>
                <w:szCs w:val="18"/>
              </w:rPr>
              <w:t>restaurant et bar</w:t>
            </w:r>
          </w:p>
          <w:p w:rsidR="00485E74" w:rsidRPr="005B2D15" w:rsidRDefault="00485E74" w:rsidP="008031D5">
            <w:pPr>
              <w:ind w:left="567"/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8031D5" w:rsidRPr="005B2D15" w:rsidRDefault="008031D5" w:rsidP="00485E74">
            <w:pPr>
              <w:numPr>
                <w:ilvl w:val="0"/>
                <w:numId w:val="5"/>
              </w:numPr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  <w:u w:val="single"/>
              </w:rPr>
              <w:t>Eléments corporels</w:t>
            </w:r>
            <w:r w:rsidRPr="005B2D15">
              <w:rPr>
                <w:rFonts w:ascii="Century Gothic" w:hAnsi="Century Gothic"/>
                <w:sz w:val="18"/>
                <w:szCs w:val="18"/>
              </w:rPr>
              <w:t>*</w:t>
            </w:r>
          </w:p>
          <w:p w:rsidR="008031D5" w:rsidRPr="005B2D15" w:rsidRDefault="008031D5" w:rsidP="008031D5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  <w:p w:rsidR="008031D5" w:rsidRPr="005B2D15" w:rsidRDefault="005B2D15" w:rsidP="008031D5">
            <w:pPr>
              <w:ind w:left="405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. M</w:t>
            </w:r>
            <w:r w:rsidR="008031D5" w:rsidRPr="005B2D15">
              <w:rPr>
                <w:rFonts w:ascii="Century Gothic" w:hAnsi="Century Gothic"/>
                <w:sz w:val="18"/>
                <w:szCs w:val="18"/>
              </w:rPr>
              <w:t>atériel de bureau</w:t>
            </w:r>
          </w:p>
          <w:p w:rsidR="008031D5" w:rsidRPr="005B2D15" w:rsidRDefault="008031D5" w:rsidP="008031D5">
            <w:pPr>
              <w:ind w:left="405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. Matériel d’exploitation</w:t>
            </w:r>
          </w:p>
          <w:p w:rsidR="008031D5" w:rsidRDefault="008031D5" w:rsidP="008031D5">
            <w:pPr>
              <w:ind w:left="405"/>
              <w:jc w:val="both"/>
              <w:rPr>
                <w:rFonts w:ascii="Century Gothic" w:hAnsi="Century Gothic"/>
              </w:rPr>
            </w:pPr>
          </w:p>
          <w:p w:rsidR="008031D5" w:rsidRPr="008031D5" w:rsidRDefault="008031D5" w:rsidP="008031D5">
            <w:pPr>
              <w:ind w:left="405"/>
              <w:jc w:val="both"/>
              <w:rPr>
                <w:rFonts w:ascii="Century Gothic" w:hAnsi="Century Gothic"/>
                <w:i/>
                <w:sz w:val="16"/>
                <w:szCs w:val="16"/>
              </w:rPr>
            </w:pPr>
            <w:r w:rsidRPr="008031D5">
              <w:rPr>
                <w:rFonts w:ascii="Century Gothic" w:hAnsi="Century Gothic"/>
                <w:i/>
                <w:sz w:val="16"/>
                <w:szCs w:val="16"/>
              </w:rPr>
              <w:t>(*) A l’exception des mobiliers et matériels appartenant à des tiers et/ou  faisant l’objet de contrats de crédit-bail, location, et de clause de réserve de propriété.</w:t>
            </w:r>
          </w:p>
          <w:p w:rsidR="008031D5" w:rsidRPr="00485E74" w:rsidRDefault="008031D5" w:rsidP="008031D5">
            <w:pPr>
              <w:ind w:left="405"/>
              <w:jc w:val="both"/>
              <w:rPr>
                <w:rFonts w:ascii="Century Gothic" w:hAnsi="Century Gothic"/>
                <w:sz w:val="16"/>
                <w:szCs w:val="16"/>
              </w:rPr>
            </w:pPr>
            <w:r w:rsidRPr="00485E74">
              <w:rPr>
                <w:rFonts w:ascii="Century Gothic" w:hAnsi="Century Gothic"/>
                <w:sz w:val="16"/>
                <w:szCs w:val="16"/>
              </w:rPr>
              <w:t xml:space="preserve">Les actifs mobiliers ont été évalués par </w:t>
            </w:r>
            <w:bookmarkStart w:id="22" w:name="SAFFAIRE_CPRABREVIALIB_0"/>
            <w:r w:rsidRPr="00485E74">
              <w:rPr>
                <w:rFonts w:ascii="Century Gothic" w:hAnsi="Century Gothic"/>
                <w:sz w:val="16"/>
                <w:szCs w:val="16"/>
              </w:rPr>
              <w:t>Maître</w:t>
            </w:r>
            <w:bookmarkEnd w:id="22"/>
            <w:r w:rsidRPr="00485E7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bookmarkStart w:id="23" w:name="SAFFAIRE_CPRNOM_0"/>
            <w:r w:rsidRPr="00485E74">
              <w:rPr>
                <w:rFonts w:ascii="Century Gothic" w:hAnsi="Century Gothic"/>
                <w:sz w:val="16"/>
                <w:szCs w:val="16"/>
              </w:rPr>
              <w:t>BRISCADIEU</w:t>
            </w:r>
            <w:bookmarkEnd w:id="23"/>
            <w:r w:rsidRPr="00485E74">
              <w:rPr>
                <w:rFonts w:ascii="Century Gothic" w:hAnsi="Century Gothic"/>
                <w:sz w:val="16"/>
                <w:szCs w:val="16"/>
              </w:rPr>
              <w:t xml:space="preserve">,  </w:t>
            </w:r>
            <w:bookmarkStart w:id="24" w:name="SAFFAIRE_CPRRUE1_0"/>
            <w:r w:rsidRPr="00485E74">
              <w:rPr>
                <w:rFonts w:ascii="Century Gothic" w:hAnsi="Century Gothic"/>
                <w:sz w:val="16"/>
                <w:szCs w:val="16"/>
              </w:rPr>
              <w:t>Commissaire-Priseur</w:t>
            </w:r>
            <w:bookmarkEnd w:id="24"/>
            <w:r w:rsidRPr="00485E74">
              <w:rPr>
                <w:rFonts w:ascii="Century Gothic" w:hAnsi="Century Gothic"/>
                <w:sz w:val="16"/>
                <w:szCs w:val="16"/>
              </w:rPr>
              <w:t xml:space="preserve"> </w:t>
            </w:r>
            <w:bookmarkStart w:id="25" w:name="SAFFAIRE_CPRRUE2_0"/>
            <w:r w:rsidRPr="00485E74">
              <w:rPr>
                <w:rFonts w:ascii="Century Gothic" w:hAnsi="Century Gothic"/>
                <w:sz w:val="16"/>
                <w:szCs w:val="16"/>
              </w:rPr>
              <w:t>12 à 14, rue Peyronnet</w:t>
            </w:r>
            <w:bookmarkEnd w:id="25"/>
            <w:r w:rsidRPr="00485E74">
              <w:rPr>
                <w:rFonts w:ascii="Century Gothic" w:hAnsi="Century Gothic"/>
                <w:sz w:val="16"/>
                <w:szCs w:val="16"/>
              </w:rPr>
              <w:t xml:space="preserve">  à  </w:t>
            </w:r>
            <w:bookmarkStart w:id="26" w:name="SAFFAIRE_CPRCODPOST_0"/>
            <w:r w:rsidRPr="00485E74">
              <w:rPr>
                <w:rFonts w:ascii="Century Gothic" w:hAnsi="Century Gothic"/>
                <w:sz w:val="16"/>
                <w:szCs w:val="16"/>
              </w:rPr>
              <w:t>33800</w:t>
            </w:r>
            <w:bookmarkEnd w:id="26"/>
            <w:r w:rsidRPr="00485E74">
              <w:rPr>
                <w:rFonts w:ascii="Century Gothic" w:hAnsi="Century Gothic"/>
                <w:sz w:val="16"/>
                <w:szCs w:val="16"/>
              </w:rPr>
              <w:t xml:space="preserve"> – </w:t>
            </w:r>
            <w:bookmarkStart w:id="27" w:name="SAFFAIRE_CPRBURDIS_0"/>
            <w:r w:rsidRPr="00485E74">
              <w:rPr>
                <w:rFonts w:ascii="Century Gothic" w:hAnsi="Century Gothic"/>
                <w:sz w:val="16"/>
                <w:szCs w:val="16"/>
              </w:rPr>
              <w:t>BORDEAUX</w:t>
            </w:r>
            <w:bookmarkEnd w:id="27"/>
            <w:r w:rsidRPr="00485E74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</w:tr>
    </w:tbl>
    <w:p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:rsidR="00485E74" w:rsidRDefault="00485E74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</w:p>
    <w:p w:rsidR="003C7819" w:rsidRPr="009E0783" w:rsidRDefault="008031D5" w:rsidP="0089066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ELEMENT</w:t>
      </w:r>
      <w:r w:rsidR="003C7819" w:rsidRPr="009E0783">
        <w:rPr>
          <w:rFonts w:ascii="Century Gothic" w:hAnsi="Century Gothic"/>
          <w:b/>
          <w:sz w:val="22"/>
          <w:szCs w:val="22"/>
          <w:u w:val="single"/>
        </w:rPr>
        <w:t>S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COMPTABLES </w:t>
      </w:r>
    </w:p>
    <w:p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p w:rsidR="005B2D15" w:rsidRPr="005B2D15" w:rsidRDefault="005B2D15" w:rsidP="005B2D15">
      <w:pPr>
        <w:jc w:val="both"/>
        <w:rPr>
          <w:rFonts w:ascii="Century Gothic" w:hAnsi="Century Gothic"/>
        </w:rPr>
      </w:pPr>
      <w:r w:rsidRPr="005B2D15">
        <w:rPr>
          <w:rFonts w:ascii="Century Gothic" w:hAnsi="Century Gothic"/>
        </w:rPr>
        <w:t>Les comptes remis font apparaître les résultats suivants :</w:t>
      </w:r>
    </w:p>
    <w:p w:rsidR="005B2D15" w:rsidRPr="005B2D15" w:rsidRDefault="005B2D15" w:rsidP="005B2D15">
      <w:pPr>
        <w:jc w:val="both"/>
        <w:rPr>
          <w:rFonts w:ascii="Century Gothic" w:hAnsi="Century Gothic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422"/>
        <w:gridCol w:w="1701"/>
        <w:gridCol w:w="1701"/>
        <w:gridCol w:w="1701"/>
        <w:gridCol w:w="1701"/>
      </w:tblGrid>
      <w:tr w:rsidR="005B2D15" w:rsidRPr="005B2D15" w:rsidTr="005B2D15">
        <w:tc>
          <w:tcPr>
            <w:tcW w:w="2422" w:type="dxa"/>
            <w:tcBorders>
              <w:top w:val="nil"/>
              <w:left w:val="nil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jc w:val="both"/>
              <w:rPr>
                <w:rFonts w:ascii="Century Gothic" w:hAnsi="Century Gothic"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B2D15">
              <w:rPr>
                <w:rFonts w:ascii="Century Gothic" w:hAnsi="Century Gothic"/>
                <w:b/>
                <w:sz w:val="18"/>
                <w:szCs w:val="18"/>
              </w:rPr>
              <w:t>01/10/2022 au 31/12/2022</w:t>
            </w:r>
          </w:p>
          <w:p w:rsidR="005B2D15" w:rsidRPr="005B2D15" w:rsidRDefault="005B2D15" w:rsidP="005B2D15">
            <w:pPr>
              <w:spacing w:before="12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B2D15">
              <w:rPr>
                <w:rFonts w:ascii="Century Gothic" w:hAnsi="Century Gothic"/>
                <w:b/>
                <w:sz w:val="18"/>
                <w:szCs w:val="18"/>
              </w:rPr>
              <w:t>(projet sur 3 mois)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B2D15">
              <w:rPr>
                <w:rFonts w:ascii="Century Gothic" w:hAnsi="Century Gothic"/>
                <w:b/>
                <w:sz w:val="18"/>
                <w:szCs w:val="18"/>
              </w:rPr>
              <w:t>30/09/2022</w:t>
            </w:r>
          </w:p>
          <w:p w:rsidR="005B2D15" w:rsidRPr="005B2D15" w:rsidRDefault="005B2D15" w:rsidP="005B2D15">
            <w:pPr>
              <w:spacing w:before="12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B2D15">
              <w:rPr>
                <w:rFonts w:ascii="Century Gothic" w:hAnsi="Century Gothic"/>
                <w:b/>
                <w:sz w:val="18"/>
                <w:szCs w:val="18"/>
              </w:rPr>
              <w:t>30/09/2021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/>
              <w:jc w:val="center"/>
              <w:rPr>
                <w:rFonts w:ascii="Century Gothic" w:hAnsi="Century Gothic"/>
                <w:b/>
                <w:sz w:val="18"/>
                <w:szCs w:val="18"/>
              </w:rPr>
            </w:pPr>
            <w:r w:rsidRPr="005B2D15">
              <w:rPr>
                <w:rFonts w:ascii="Century Gothic" w:hAnsi="Century Gothic"/>
                <w:b/>
                <w:sz w:val="18"/>
                <w:szCs w:val="18"/>
              </w:rPr>
              <w:t>30/09/2020</w:t>
            </w:r>
          </w:p>
        </w:tc>
      </w:tr>
      <w:tr w:rsidR="005B2D15" w:rsidRPr="005B2D15" w:rsidTr="005B2D15">
        <w:tc>
          <w:tcPr>
            <w:tcW w:w="2422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ind w:left="113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Chiffre d’Affaires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100 873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330 597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259 440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413 279</w:t>
            </w:r>
          </w:p>
        </w:tc>
      </w:tr>
      <w:tr w:rsidR="005B2D15" w:rsidRPr="005B2D15" w:rsidTr="005B2D15">
        <w:tc>
          <w:tcPr>
            <w:tcW w:w="2422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ind w:left="113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EBE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(169 884)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(45 042)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(133 150)</w:t>
            </w:r>
          </w:p>
        </w:tc>
      </w:tr>
      <w:tr w:rsidR="005B2D15" w:rsidRPr="005B2D15" w:rsidTr="005B2D15">
        <w:tc>
          <w:tcPr>
            <w:tcW w:w="2422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ind w:left="113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Résultat d’Exploitation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(24 925)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(168 871)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(63 466)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(133 973)</w:t>
            </w:r>
          </w:p>
        </w:tc>
      </w:tr>
      <w:tr w:rsidR="005B2D15" w:rsidRPr="005B2D15" w:rsidTr="005B2D15">
        <w:tc>
          <w:tcPr>
            <w:tcW w:w="2422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ind w:left="113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Résultat Net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(25 490)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(165 408)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(60 265)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(125 223)</w:t>
            </w:r>
          </w:p>
        </w:tc>
      </w:tr>
      <w:tr w:rsidR="005B2D15" w:rsidRPr="005B2D15" w:rsidTr="005B2D15">
        <w:tc>
          <w:tcPr>
            <w:tcW w:w="2422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ind w:left="113"/>
              <w:jc w:val="both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Capitaux propres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-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  <w:shd w:val="clear" w:color="auto" w:fill="DBE5F1"/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(199 323)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(33 915)</w:t>
            </w:r>
          </w:p>
        </w:tc>
        <w:tc>
          <w:tcPr>
            <w:tcW w:w="1701" w:type="dxa"/>
            <w:tcBorders>
              <w:top w:val="single" w:sz="12" w:space="0" w:color="4F81BD"/>
              <w:left w:val="single" w:sz="12" w:space="0" w:color="4F81BD"/>
              <w:bottom w:val="single" w:sz="12" w:space="0" w:color="4F81BD"/>
              <w:right w:val="single" w:sz="12" w:space="0" w:color="4F81BD"/>
            </w:tcBorders>
          </w:tcPr>
          <w:p w:rsidR="005B2D15" w:rsidRPr="005B2D15" w:rsidRDefault="005B2D15" w:rsidP="005B2D15">
            <w:pPr>
              <w:spacing w:before="120" w:after="120"/>
              <w:jc w:val="center"/>
              <w:rPr>
                <w:rFonts w:ascii="Century Gothic" w:hAnsi="Century Gothic"/>
                <w:sz w:val="18"/>
                <w:szCs w:val="18"/>
              </w:rPr>
            </w:pPr>
            <w:r w:rsidRPr="005B2D15">
              <w:rPr>
                <w:rFonts w:ascii="Century Gothic" w:hAnsi="Century Gothic"/>
                <w:sz w:val="18"/>
                <w:szCs w:val="18"/>
              </w:rPr>
              <w:t>26 350</w:t>
            </w:r>
          </w:p>
        </w:tc>
      </w:tr>
    </w:tbl>
    <w:p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 w:rsidRPr="009E0783">
        <w:rPr>
          <w:rFonts w:ascii="Century Gothic" w:hAnsi="Century Gothic"/>
          <w:b/>
          <w:sz w:val="22"/>
          <w:szCs w:val="22"/>
          <w:u w:val="single"/>
        </w:rPr>
        <w:t>E</w:t>
      </w:r>
      <w:r>
        <w:rPr>
          <w:rFonts w:ascii="Century Gothic" w:hAnsi="Century Gothic"/>
          <w:b/>
          <w:sz w:val="22"/>
          <w:szCs w:val="22"/>
          <w:u w:val="single"/>
        </w:rPr>
        <w:t>FFECTIF</w:t>
      </w:r>
      <w:r w:rsidRPr="009E0783">
        <w:rPr>
          <w:rFonts w:ascii="Century Gothic" w:hAnsi="Century Gothic"/>
          <w:b/>
          <w:sz w:val="22"/>
          <w:szCs w:val="22"/>
          <w:u w:val="single"/>
        </w:rPr>
        <w:t xml:space="preserve"> </w:t>
      </w:r>
    </w:p>
    <w:p w:rsidR="00890664" w:rsidRDefault="00890664" w:rsidP="00890664">
      <w:pPr>
        <w:ind w:left="405"/>
        <w:jc w:val="both"/>
        <w:rPr>
          <w:rFonts w:ascii="Century Gothic" w:hAnsi="Century Gothic"/>
        </w:rPr>
      </w:pPr>
    </w:p>
    <w:p w:rsidR="003C7819" w:rsidRPr="00D534CD" w:rsidRDefault="005B2D15" w:rsidP="00890664">
      <w:pPr>
        <w:ind w:left="405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4</w:t>
      </w:r>
      <w:r w:rsidR="00485E74">
        <w:rPr>
          <w:rFonts w:ascii="Century Gothic" w:hAnsi="Century Gothic"/>
        </w:rPr>
        <w:t xml:space="preserve"> salarié</w:t>
      </w:r>
      <w:r>
        <w:rPr>
          <w:rFonts w:ascii="Century Gothic" w:hAnsi="Century Gothic"/>
        </w:rPr>
        <w:t>s</w:t>
      </w:r>
    </w:p>
    <w:p w:rsidR="003C7819" w:rsidRDefault="003C7819" w:rsidP="00890664">
      <w:pPr>
        <w:ind w:left="405"/>
        <w:jc w:val="both"/>
        <w:rPr>
          <w:rFonts w:ascii="Century Gothic" w:hAnsi="Century Gothic"/>
        </w:rPr>
      </w:pPr>
    </w:p>
    <w:p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DATE LIMITE DE REMISE DES OFFRES</w:t>
      </w:r>
    </w:p>
    <w:p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:rsidR="003C7819" w:rsidRPr="00485E74" w:rsidRDefault="005B2D15" w:rsidP="00890664">
      <w:pPr>
        <w:ind w:left="405"/>
        <w:jc w:val="both"/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28.04.2023</w:t>
      </w:r>
      <w:r w:rsidR="00485E74">
        <w:rPr>
          <w:rFonts w:ascii="Century Gothic" w:hAnsi="Century Gothic"/>
          <w:b/>
        </w:rPr>
        <w:t xml:space="preserve"> à</w:t>
      </w:r>
      <w:r>
        <w:rPr>
          <w:rFonts w:ascii="Century Gothic" w:hAnsi="Century Gothic"/>
          <w:b/>
        </w:rPr>
        <w:t xml:space="preserve"> 17</w:t>
      </w:r>
      <w:r w:rsidR="00485E74">
        <w:rPr>
          <w:rFonts w:ascii="Century Gothic" w:hAnsi="Century Gothic"/>
          <w:b/>
        </w:rPr>
        <w:t>h</w:t>
      </w:r>
    </w:p>
    <w:p w:rsidR="008031D5" w:rsidRDefault="008031D5" w:rsidP="00890664">
      <w:pPr>
        <w:ind w:left="405"/>
        <w:jc w:val="both"/>
        <w:rPr>
          <w:rFonts w:ascii="Century Gothic" w:hAnsi="Century Gothic"/>
        </w:rPr>
      </w:pPr>
    </w:p>
    <w:p w:rsidR="00485E74" w:rsidRPr="009E0783" w:rsidRDefault="00485E74" w:rsidP="00485E74">
      <w:pPr>
        <w:ind w:left="405"/>
        <w:jc w:val="both"/>
        <w:outlineLvl w:val="0"/>
        <w:rPr>
          <w:rFonts w:ascii="Century Gothic" w:hAnsi="Century Gothic"/>
          <w:b/>
          <w:sz w:val="22"/>
          <w:szCs w:val="22"/>
          <w:u w:val="single"/>
        </w:rPr>
      </w:pPr>
      <w:r>
        <w:rPr>
          <w:rFonts w:ascii="Century Gothic" w:hAnsi="Century Gothic"/>
          <w:b/>
          <w:sz w:val="22"/>
          <w:szCs w:val="22"/>
          <w:u w:val="single"/>
        </w:rPr>
        <w:t>CONTACT PHILAE</w:t>
      </w:r>
    </w:p>
    <w:p w:rsidR="00485E74" w:rsidRDefault="00485E74" w:rsidP="00890664">
      <w:pPr>
        <w:ind w:left="405"/>
        <w:jc w:val="both"/>
        <w:rPr>
          <w:rFonts w:ascii="Century Gothic" w:hAnsi="Century Gothic"/>
        </w:rPr>
      </w:pPr>
    </w:p>
    <w:p w:rsidR="00485E74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>Tél :</w:t>
      </w:r>
      <w:r w:rsidRPr="00D534CD">
        <w:rPr>
          <w:rFonts w:ascii="Century Gothic" w:hAnsi="Century Gothic"/>
        </w:rPr>
        <w:t xml:space="preserve"> 05 56 79 16 58</w:t>
      </w:r>
    </w:p>
    <w:p w:rsidR="00485E74" w:rsidRPr="00D534CD" w:rsidRDefault="00485E74" w:rsidP="00485E74">
      <w:pPr>
        <w:tabs>
          <w:tab w:val="left" w:pos="7485"/>
        </w:tabs>
        <w:ind w:firstLine="426"/>
        <w:jc w:val="both"/>
        <w:outlineLvl w:val="0"/>
        <w:rPr>
          <w:rFonts w:ascii="Century Gothic" w:hAnsi="Century Gothic"/>
        </w:rPr>
      </w:pPr>
      <w:r>
        <w:rPr>
          <w:rFonts w:ascii="Century Gothic" w:hAnsi="Century Gothic"/>
        </w:rPr>
        <w:tab/>
      </w:r>
    </w:p>
    <w:p w:rsidR="00485E74" w:rsidRPr="005B2D15" w:rsidRDefault="00485E74" w:rsidP="00485E74">
      <w:pPr>
        <w:ind w:firstLine="426"/>
        <w:jc w:val="both"/>
        <w:rPr>
          <w:rFonts w:ascii="Century Gothic" w:hAnsi="Century Gothic"/>
          <w:b/>
          <w:color w:val="548DD4" w:themeColor="text2" w:themeTint="99"/>
        </w:rPr>
      </w:pPr>
      <w:r>
        <w:rPr>
          <w:rFonts w:ascii="Century Gothic" w:hAnsi="Century Gothic"/>
        </w:rPr>
        <w:t xml:space="preserve">Email : </w:t>
      </w:r>
      <w:r w:rsidR="00D51845" w:rsidRPr="005B2D15">
        <w:rPr>
          <w:rFonts w:ascii="Century Gothic" w:hAnsi="Century Gothic"/>
          <w:b/>
          <w:color w:val="1F497D" w:themeColor="text2"/>
        </w:rPr>
        <w:t>contact@philaemj.fr</w:t>
      </w:r>
    </w:p>
    <w:p w:rsidR="008031D5" w:rsidRDefault="008031D5" w:rsidP="00485E74">
      <w:pPr>
        <w:ind w:left="405" w:firstLine="426"/>
        <w:jc w:val="both"/>
        <w:rPr>
          <w:rFonts w:ascii="Century Gothic" w:hAnsi="Century Gothic"/>
        </w:rPr>
      </w:pPr>
    </w:p>
    <w:p w:rsidR="008031D5" w:rsidRDefault="008031D5" w:rsidP="00890664">
      <w:pPr>
        <w:ind w:left="405"/>
        <w:jc w:val="both"/>
        <w:rPr>
          <w:rFonts w:ascii="Century Gothic" w:hAnsi="Century Gothic"/>
        </w:rPr>
      </w:pPr>
    </w:p>
    <w:p w:rsidR="008031D5" w:rsidRPr="00D534CD" w:rsidRDefault="008031D5" w:rsidP="00890664">
      <w:pPr>
        <w:ind w:left="405"/>
        <w:jc w:val="both"/>
        <w:rPr>
          <w:rFonts w:ascii="Century Gothic" w:hAnsi="Century Gothic"/>
        </w:rPr>
      </w:pPr>
    </w:p>
    <w:p w:rsidR="003C7819" w:rsidRDefault="003C7819" w:rsidP="00890664">
      <w:pPr>
        <w:ind w:left="405"/>
        <w:jc w:val="both"/>
        <w:outlineLvl w:val="0"/>
        <w:rPr>
          <w:rFonts w:ascii="Century Gothic" w:hAnsi="Century Gothic"/>
        </w:rPr>
      </w:pPr>
      <w:r w:rsidRPr="00D534CD">
        <w:rPr>
          <w:rFonts w:ascii="Century Gothic" w:hAnsi="Century Gothic"/>
        </w:rPr>
        <w:t xml:space="preserve">Fait à BORDEAUX, le </w:t>
      </w:r>
      <w:r w:rsidR="008D225C" w:rsidRPr="00D534CD">
        <w:rPr>
          <w:rFonts w:ascii="Century Gothic" w:hAnsi="Century Gothic"/>
        </w:rPr>
        <w:t>28 mars 2023</w:t>
      </w:r>
    </w:p>
    <w:p w:rsidR="005B2D15" w:rsidRDefault="005B2D15" w:rsidP="00890664">
      <w:pPr>
        <w:ind w:left="405"/>
        <w:jc w:val="both"/>
        <w:outlineLvl w:val="0"/>
        <w:rPr>
          <w:rFonts w:ascii="Century Gothic" w:hAnsi="Century Gothic"/>
        </w:rPr>
      </w:pPr>
    </w:p>
    <w:p w:rsidR="00AB5F38" w:rsidRDefault="00AB5F38" w:rsidP="00AB5F38">
      <w:pPr>
        <w:ind w:left="426"/>
        <w:jc w:val="center"/>
        <w:rPr>
          <w:rFonts w:ascii="Century Gothic" w:hAnsi="Century Gothic"/>
        </w:rPr>
      </w:pPr>
      <w:r>
        <w:rPr>
          <w:rFonts w:ascii="Century Gothic" w:hAnsi="Century Gothic"/>
        </w:rPr>
        <w:t>yyySignature</w:t>
      </w:r>
    </w:p>
    <w:p w:rsidR="00AB5F38" w:rsidRDefault="00AB5F38" w:rsidP="00AB5F38">
      <w:pPr>
        <w:ind w:left="426" w:right="48" w:firstLine="3543"/>
        <w:jc w:val="both"/>
        <w:rPr>
          <w:sz w:val="24"/>
          <w:szCs w:val="24"/>
        </w:rPr>
      </w:pPr>
    </w:p>
    <w:p w:rsidR="00AB5F38" w:rsidRPr="00D534CD" w:rsidRDefault="00AB5F38" w:rsidP="00890664">
      <w:pPr>
        <w:ind w:left="405"/>
        <w:jc w:val="both"/>
        <w:outlineLvl w:val="0"/>
        <w:rPr>
          <w:rFonts w:ascii="Century Gothic" w:hAnsi="Century Gothic"/>
        </w:rPr>
      </w:pPr>
    </w:p>
    <w:p w:rsidR="003C7819" w:rsidRPr="00D534CD" w:rsidRDefault="003C7819" w:rsidP="00890664">
      <w:pPr>
        <w:ind w:left="405"/>
        <w:jc w:val="both"/>
        <w:rPr>
          <w:rFonts w:ascii="Century Gothic" w:hAnsi="Century Gothic"/>
        </w:rPr>
      </w:pPr>
    </w:p>
    <w:sectPr w:rsidR="003C7819" w:rsidRPr="00D534CD" w:rsidSect="00D534CD">
      <w:headerReference w:type="default" r:id="rId10"/>
      <w:pgSz w:w="11906" w:h="16838"/>
      <w:pgMar w:top="1417" w:right="1417" w:bottom="1417" w:left="1417" w:header="720" w:footer="720" w:gutter="0"/>
      <w:cols w:space="720"/>
      <w:docGrid w:linePitch="272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toolbars>
    <wne:toolbarData r:id="rId1"/>
  </wne:toolbar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E5B" w:rsidRDefault="00662E5B" w:rsidP="00662E5B">
      <w:r>
        <w:separator/>
      </w:r>
    </w:p>
  </w:endnote>
  <w:endnote w:type="continuationSeparator" w:id="0">
    <w:p w:rsidR="00662E5B" w:rsidRDefault="00662E5B" w:rsidP="00662E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E5B" w:rsidRDefault="00662E5B" w:rsidP="00662E5B">
      <w:r>
        <w:separator/>
      </w:r>
    </w:p>
  </w:footnote>
  <w:footnote w:type="continuationSeparator" w:id="0">
    <w:p w:rsidR="00662E5B" w:rsidRDefault="00662E5B" w:rsidP="00662E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2E5B" w:rsidRDefault="00AB485F">
    <w:pPr>
      <w:pStyle w:val="En-tte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3185795</wp:posOffset>
          </wp:positionH>
          <wp:positionV relativeFrom="page">
            <wp:posOffset>142875</wp:posOffset>
          </wp:positionV>
          <wp:extent cx="1181100" cy="987425"/>
          <wp:effectExtent l="0" t="0" r="0" b="3175"/>
          <wp:wrapNone/>
          <wp:docPr id="1" name="Image 1" descr="Logo_PHILAE_CMJN_Plan de travail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 descr="Logo_PHILAE_CMJN_Plan de travail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9874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9F5D34"/>
    <w:multiLevelType w:val="hybridMultilevel"/>
    <w:tmpl w:val="02329F2C"/>
    <w:lvl w:ilvl="0" w:tplc="804C4518">
      <w:numFmt w:val="bullet"/>
      <w:lvlText w:val="-"/>
      <w:lvlJc w:val="left"/>
      <w:pPr>
        <w:ind w:left="765" w:hanging="360"/>
      </w:pPr>
      <w:rPr>
        <w:rFonts w:ascii="Century Gothic" w:eastAsia="Times New Roman" w:hAnsi="Century Gothic" w:cs="Times New Roman" w:hint="default"/>
        <w:u w:val="single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E790D62"/>
    <w:multiLevelType w:val="hybridMultilevel"/>
    <w:tmpl w:val="2E10A7E4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6422F22"/>
    <w:multiLevelType w:val="singleLevel"/>
    <w:tmpl w:val="DA241110"/>
    <w:lvl w:ilvl="0">
      <w:numFmt w:val="bullet"/>
      <w:lvlText w:val="-"/>
      <w:lvlJc w:val="left"/>
      <w:pPr>
        <w:tabs>
          <w:tab w:val="num" w:pos="405"/>
        </w:tabs>
        <w:ind w:left="405" w:hanging="360"/>
      </w:pPr>
      <w:rPr>
        <w:rFonts w:hint="default"/>
      </w:rPr>
    </w:lvl>
  </w:abstractNum>
  <w:abstractNum w:abstractNumId="3" w15:restartNumberingAfterBreak="0">
    <w:nsid w:val="3D4B2CD5"/>
    <w:multiLevelType w:val="hybridMultilevel"/>
    <w:tmpl w:val="8A3A7886"/>
    <w:lvl w:ilvl="0" w:tplc="040C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BE258D"/>
    <w:multiLevelType w:val="hybridMultilevel"/>
    <w:tmpl w:val="3A3EA744"/>
    <w:lvl w:ilvl="0" w:tplc="25581808">
      <w:numFmt w:val="bullet"/>
      <w:lvlText w:val="-"/>
      <w:lvlJc w:val="left"/>
      <w:pPr>
        <w:ind w:left="1125" w:hanging="360"/>
      </w:pPr>
      <w:rPr>
        <w:rFonts w:ascii="Century Gothic" w:eastAsia="Times New Roman" w:hAnsi="Century Gothic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84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6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8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0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72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4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6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8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oNotDisplayPageBoundaries/>
  <w:defaultTabStop w:val="708"/>
  <w:hyphenationZone w:val="425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IVE" w:val="35103.DOT"/>
    <w:docVar w:name="BARREOUTILS" w:val="CREA01"/>
    <w:docVar w:name="ID" w:val="0000001192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  <w:docVar w:name="WLL" w:val="F:\SELARL\WSYNDIC\WLL32\Cyrus.dot"/>
  </w:docVars>
  <w:rsids>
    <w:rsidRoot w:val="00E146E8"/>
    <w:rsid w:val="0014005C"/>
    <w:rsid w:val="001970B4"/>
    <w:rsid w:val="003A73CB"/>
    <w:rsid w:val="003C7819"/>
    <w:rsid w:val="00485E74"/>
    <w:rsid w:val="005B2D15"/>
    <w:rsid w:val="00662E5B"/>
    <w:rsid w:val="008031D5"/>
    <w:rsid w:val="00890664"/>
    <w:rsid w:val="008D225C"/>
    <w:rsid w:val="009420A7"/>
    <w:rsid w:val="009E0783"/>
    <w:rsid w:val="00A93AA1"/>
    <w:rsid w:val="00AB485F"/>
    <w:rsid w:val="00AB5F38"/>
    <w:rsid w:val="00B2564B"/>
    <w:rsid w:val="00D11B2F"/>
    <w:rsid w:val="00D51845"/>
    <w:rsid w:val="00D534CD"/>
    <w:rsid w:val="00D97CDC"/>
    <w:rsid w:val="00E14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5:docId w15:val="{A402F476-42FC-44D8-A0BB-AEEF4E4F98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0"/>
      <w:szCs w:val="20"/>
    </w:rPr>
  </w:style>
  <w:style w:type="paragraph" w:styleId="Titre1">
    <w:name w:val="heading 1"/>
    <w:basedOn w:val="Normal"/>
    <w:next w:val="Normal"/>
    <w:link w:val="Titre1Car"/>
    <w:uiPriority w:val="99"/>
    <w:qFormat/>
    <w:pPr>
      <w:keepNext/>
      <w:pBdr>
        <w:bottom w:val="single" w:sz="6" w:space="1" w:color="auto"/>
      </w:pBdr>
      <w:ind w:left="405"/>
      <w:jc w:val="both"/>
      <w:outlineLvl w:val="0"/>
    </w:pPr>
    <w:rPr>
      <w:b/>
      <w:bCs/>
      <w:i/>
      <w:i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6B187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Explorateurdedocuments">
    <w:name w:val="Document Map"/>
    <w:basedOn w:val="Normal"/>
    <w:link w:val="ExplorateurdedocumentsCar"/>
    <w:uiPriority w:val="99"/>
    <w:semiHidden/>
    <w:pPr>
      <w:shd w:val="clear" w:color="auto" w:fill="000080"/>
    </w:pPr>
    <w:rPr>
      <w:rFonts w:ascii="Tahoma" w:hAnsi="Tahoma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6B1870"/>
    <w:rPr>
      <w:sz w:val="0"/>
      <w:szCs w:val="0"/>
    </w:rPr>
  </w:style>
  <w:style w:type="paragraph" w:styleId="En-tte">
    <w:name w:val="header"/>
    <w:basedOn w:val="Normal"/>
    <w:link w:val="En-tt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662E5B"/>
    <w:rPr>
      <w:sz w:val="20"/>
      <w:szCs w:val="20"/>
    </w:rPr>
  </w:style>
  <w:style w:type="paragraph" w:styleId="Pieddepage">
    <w:name w:val="footer"/>
    <w:basedOn w:val="Normal"/>
    <w:link w:val="PieddepageCar"/>
    <w:uiPriority w:val="99"/>
    <w:unhideWhenUsed/>
    <w:rsid w:val="00662E5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662E5B"/>
    <w:rPr>
      <w:sz w:val="20"/>
      <w:szCs w:val="20"/>
    </w:rPr>
  </w:style>
  <w:style w:type="character" w:styleId="Lienhypertexte">
    <w:name w:val="Hyperlink"/>
    <w:basedOn w:val="Policepardfaut"/>
    <w:uiPriority w:val="99"/>
    <w:unhideWhenUsed/>
    <w:rsid w:val="008031D5"/>
    <w:rPr>
      <w:color w:val="0000FF" w:themeColor="hyperlink"/>
      <w:u w:val="single"/>
    </w:rPr>
  </w:style>
  <w:style w:type="table" w:styleId="Grilledutableau">
    <w:name w:val="Table Grid"/>
    <w:basedOn w:val="TableauNormal"/>
    <w:uiPriority w:val="59"/>
    <w:rsid w:val="008031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6913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customizations.xml.rels><?xml version="1.0" encoding="UTF-8" standalone="yes"?>
<Relationships xmlns="http://schemas.openxmlformats.org/package/2006/relationships"><Relationship Id="rId1" Type="http://schemas.microsoft.com/office/2006/relationships/attachedToolbars" Target="attachedToolbars.bin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w="http://schemas.openxmlformats.org/wordprocessingml/2006/main" xmlns:m="http://schemas.openxmlformats.org/officeDocument/2006/math" xmlns:w14="http://schemas.microsoft.com/office/word/2010/wordml" xmlns:r="http://schemas.openxmlformats.org/officeDocument/2006/relationships" xmlns:wp="http://schemas.openxmlformats.org/drawingml/2006/wordprocessingDrawing" xmlns:a="http://schemas.openxmlformats.org/drawingml/2006/main" xmlns:wp14="http://schemas.microsoft.com/office/word/2010/wordprocessingDrawing" xmlns:w15="http://schemas.microsoft.com/office/word/2012/wordml" xmlns:mc="http://schemas.openxmlformats.org/markup-compatibility/2006" xmlns:a14="http://schemas.microsoft.com/office/drawing/2010/main" xmlns:sl="http://schemas.openxmlformats.org/schemaLibrary/2006/main" xmlns:wne="http://schemas.microsoft.com/office/word/2006/wordml" xmlns:c="http://schemas.openxmlformats.org/drawingml/2006/chart" xmlns:cdr="http://schemas.openxmlformats.org/drawingml/2006/chartDrawing" xmlns:c14="http://schemas.microsoft.com/office/drawing/2007/8/2/chart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xvml="urn:schemas-microsoft-com:office:excel" xmlns:o="urn:schemas-microsoft-com:office:office" xmlns:v="urn:schemas-microsoft-com:vml" xmlns:w10="urn:schemas-microsoft-com:office:word" xmlns:pvml="urn:schemas-microsoft-com:office:powerpoint" xmlns:cppr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msink="http://schemas.microsoft.com/ink/2010/main" xmlns:cdr14="http://schemas.microsoft.com/office/drawing/2010/chartDrawing" xmlns:c15="http://schemas.microsoft.com/office/drawing/2012/chart" xmlns:cs="http://schemas.microsoft.com/office/drawing/2012/chartStyle" xmlns:ns38="http://www.w3.org/1998/Math/MathML" xmlns:ns39="http://www.w3.org/2003/InkML" xmlns:a13cmd="http://schemas.microsoft.com/office/drawing/2013/main/command" xmlns:cx="http://schemas.microsoft.com/office/drawing/2014/chartex" xmlns:c16="http://schemas.microsoft.com/office/drawing/2014/chart" xmlns:dgm1611="http://schemas.microsoft.com/office/drawing/2016/11/diagram" xmlns:c173="http://schemas.microsoft.com/office/drawing/2017/03/chart" xmlns:am3d="http://schemas.microsoft.com/office/drawing/2017/model3d" xmlns:an18="http://schemas.microsoft.com/office/drawing/2018/animation" xmlns:anam3d="http://schemas.microsoft.com/office/drawing/2018/animation/model3d" xmlns:iact="http://schemas.microsoft.com/office/powerpoint/2014/inkAction" xmlns:thm15="http://schemas.microsoft.com/office/thememl/2012/main" xmlns:wps="http://schemas.microsoft.com/office/word/2010/wordprocessingShape" xmlns:wpc="http://schemas.microsoft.com/office/word/2010/wordprocessingCanvas" xmlns:wpg="http://schemas.microsoft.com/office/word/2010/wordprocessingGroup" xmlns:w16se="http://schemas.microsoft.com/office/word/2015/wordml/symex" xmlns:w16cid="http://schemas.microsoft.com/office/word/2016/wordml/cid" xmlns:wetp="http://schemas.microsoft.com/office/webextensions/taskpanes/2010/11" xmlns:we="http://schemas.microsoft.com/office/webextensions/webextension/2010/11" xmlns:comp="http://schemas.openxmlformats.org/drawingml/2006/compatibility" xmlns:lc="http://schemas.openxmlformats.org/drawingml/2006/lockedCanvas" xmlns:dgm14="http://schemas.microsoft.com/office/drawing/2010/diagram" xmlns:a15="http://schemas.microsoft.com/office/drawing/2012/main" xmlns:pic14="http://schemas.microsoft.com/office/drawing/2010/picture" xmlns:c16ac="http://schemas.microsoft.com/office/drawing/2014/chart/ac" xmlns:a16="http://schemas.microsoft.com/office/drawing/2014/main" xmlns:a1611="http://schemas.microsoft.com/office/drawing/2016/11/main" xmlns:dgm1612="http://schemas.microsoft.com/office/drawing/2016/12/diagram" xmlns:a16svg="http://schemas.microsoft.com/office/drawing/2016/SVG/main" xmlns:adec="http://schemas.microsoft.com/office/drawing/2017/decorative" xmlns:a18hc="http://schemas.microsoft.com/office/drawing/2018/hyperlinkcolor" xmlns:wp15="http://schemas.microsoft.com/office/word/2012/wordprocessingDrawing" SelectedStyle="\APASixthEditionOfficeOnline.xsl" StyleName="APA"/>
</file>

<file path=customXml/itemProps1.xml><?xml version="1.0" encoding="utf-8"?>
<ds:datastoreItem xmlns:ds="http://schemas.openxmlformats.org/officeDocument/2006/customXml" ds:itemID="{3BC6F2D3-A5D3-4254-9319-CA03E5F226E4}">
  <ds:schemaRefs>
    <ds:schemaRef ds:uri="http://schemas.openxmlformats.org/wordprocessingml/2006/main"/>
    <ds:schemaRef ds:uri="http://schemas.openxmlformats.org/officeDocument/2006/math"/>
    <ds:schemaRef ds:uri="http://schemas.microsoft.com/office/word/2010/wordml"/>
    <ds:schemaRef ds:uri="http://schemas.openxmlformats.org/officeDocument/2006/relationships"/>
    <ds:schemaRef ds:uri="http://schemas.openxmlformats.org/drawingml/2006/wordprocessingDrawing"/>
    <ds:schemaRef ds:uri="http://schemas.openxmlformats.org/drawingml/2006/main"/>
    <ds:schemaRef ds:uri="http://schemas.microsoft.com/office/word/2010/wordprocessingDrawing"/>
    <ds:schemaRef ds:uri="http://schemas.microsoft.com/office/word/2012/wordml"/>
    <ds:schemaRef ds:uri="http://schemas.openxmlformats.org/markup-compatibility/2006"/>
    <ds:schemaRef ds:uri="http://schemas.microsoft.com/office/drawing/2010/main"/>
    <ds:schemaRef ds:uri="http://schemas.openxmlformats.org/schemaLibrary/2006/main"/>
    <ds:schemaRef ds:uri="http://schemas.microsoft.com/office/word/2006/wordml"/>
    <ds:schemaRef ds:uri="http://schemas.openxmlformats.org/drawingml/2006/chart"/>
    <ds:schemaRef ds:uri="http://schemas.openxmlformats.org/drawingml/2006/chartDrawing"/>
    <ds:schemaRef ds:uri="http://schemas.microsoft.com/office/drawing/2007/8/2/chart"/>
    <ds:schemaRef ds:uri="http://schemas.openxmlformats.org/drawingml/2006/diagram"/>
    <ds:schemaRef ds:uri="http://schemas.openxmlformats.org/drawingml/2006/picture"/>
    <ds:schemaRef ds:uri="http://schemas.openxmlformats.org/drawingml/2006/spreadsheetDrawing"/>
    <ds:schemaRef ds:uri="http://schemas.microsoft.com/office/drawing/2008/diagram"/>
    <ds:schemaRef ds:uri="urn:schemas-microsoft-com:office:excel"/>
    <ds:schemaRef ds:uri="urn:schemas-microsoft-com:office:office"/>
    <ds:schemaRef ds:uri="urn:schemas-microsoft-com:vml"/>
    <ds:schemaRef ds:uri="urn:schemas-microsoft-com:office:word"/>
    <ds:schemaRef ds:uri="urn:schemas-microsoft-com:office:powerpoint"/>
    <ds:schemaRef ds:uri="http://schemas.microsoft.com/office/2006/coverPageProps"/>
    <ds:schemaRef ds:uri="http://opendope.org/xpaths"/>
    <ds:schemaRef ds:uri="http://opendope.org/conditions"/>
    <ds:schemaRef ds:uri="http://opendope.org/questions"/>
    <ds:schemaRef ds:uri="http://opendope.org/answers"/>
    <ds:schemaRef ds:uri="http://opendope.org/components"/>
    <ds:schemaRef ds:uri="http://opendope.org/SmartArt/DataHierarchy"/>
    <ds:schemaRef ds:uri="http://schemas.openxmlformats.org/officeDocument/2006/bibliography"/>
    <ds:schemaRef ds:uri="http://schemas.microsoft.com/ink/2010/main"/>
    <ds:schemaRef ds:uri="http://schemas.microsoft.com/office/drawing/2010/chartDrawing"/>
    <ds:schemaRef ds:uri="http://schemas.microsoft.com/office/drawing/2012/chart"/>
    <ds:schemaRef ds:uri="http://schemas.microsoft.com/office/drawing/2012/chartStyle"/>
    <ds:schemaRef ds:uri="http://www.w3.org/1998/Math/MathML"/>
    <ds:schemaRef ds:uri="http://www.w3.org/2003/InkML"/>
    <ds:schemaRef ds:uri="http://schemas.microsoft.com/office/drawing/2013/main/command"/>
    <ds:schemaRef ds:uri="http://schemas.microsoft.com/office/drawing/2014/chartex"/>
    <ds:schemaRef ds:uri="http://schemas.microsoft.com/office/drawing/2014/chart"/>
    <ds:schemaRef ds:uri="http://schemas.microsoft.com/office/drawing/2016/11/diagram"/>
    <ds:schemaRef ds:uri="http://schemas.microsoft.com/office/drawing/2017/03/chart"/>
    <ds:schemaRef ds:uri="http://schemas.microsoft.com/office/drawing/2017/model3d"/>
    <ds:schemaRef ds:uri="http://schemas.microsoft.com/office/drawing/2018/animation"/>
    <ds:schemaRef ds:uri="http://schemas.microsoft.com/office/drawing/2018/animation/model3d"/>
    <ds:schemaRef ds:uri="http://schemas.microsoft.com/office/powerpoint/2014/inkAction"/>
    <ds:schemaRef ds:uri="http://schemas.microsoft.com/office/thememl/2012/main"/>
    <ds:schemaRef ds:uri="http://schemas.microsoft.com/office/word/2010/wordprocessingShape"/>
    <ds:schemaRef ds:uri="http://schemas.microsoft.com/office/word/2010/wordprocessingCanvas"/>
    <ds:schemaRef ds:uri="http://schemas.microsoft.com/office/word/2010/wordprocessingGroup"/>
    <ds:schemaRef ds:uri="http://schemas.microsoft.com/office/word/2015/wordml/symex"/>
    <ds:schemaRef ds:uri="http://schemas.microsoft.com/office/word/2016/wordml/cid"/>
    <ds:schemaRef ds:uri="http://schemas.microsoft.com/office/webextensions/taskpanes/2010/11"/>
    <ds:schemaRef ds:uri="http://schemas.microsoft.com/office/webextensions/webextension/2010/11"/>
    <ds:schemaRef ds:uri="http://schemas.openxmlformats.org/drawingml/2006/compatibility"/>
    <ds:schemaRef ds:uri="http://schemas.openxmlformats.org/drawingml/2006/lockedCanvas"/>
    <ds:schemaRef ds:uri="http://schemas.microsoft.com/office/drawing/2010/diagram"/>
    <ds:schemaRef ds:uri="http://schemas.microsoft.com/office/drawing/2012/main"/>
    <ds:schemaRef ds:uri="http://schemas.microsoft.com/office/drawing/2010/picture"/>
    <ds:schemaRef ds:uri="http://schemas.microsoft.com/office/drawing/2014/chart/ac"/>
    <ds:schemaRef ds:uri="http://schemas.microsoft.com/office/drawing/2014/main"/>
    <ds:schemaRef ds:uri="http://schemas.microsoft.com/office/drawing/2016/11/main"/>
    <ds:schemaRef ds:uri="http://schemas.microsoft.com/office/drawing/2016/12/diagram"/>
    <ds:schemaRef ds:uri="http://schemas.microsoft.com/office/drawing/2016/SVG/main"/>
    <ds:schemaRef ds:uri="http://schemas.microsoft.com/office/drawing/2017/decorative"/>
    <ds:schemaRef ds:uri="http://schemas.microsoft.com/office/drawing/2018/hyperlinkcolor"/>
    <ds:schemaRef ds:uri="http://schemas.microsoft.com/office/word/2012/wordprocessingDrawing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GREFFE N° AREFT1 </vt:lpstr>
    </vt:vector>
  </TitlesOfParts>
  <Company> </Company>
  <LinksUpToDate>false</LinksUpToDate>
  <CharactersWithSpaces>2367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GREFFE N° AREFT1</dc:title>
  <dc:subject/>
  <dc:creator>Compaq Customer</dc:creator>
  <cp:keywords/>
  <dc:description/>
  <cp:lastModifiedBy>Caroline Cachau</cp:lastModifiedBy>
  <cp:revision>2</cp:revision>
  <cp:lastPrinted>2001-06-01T09:04:00Z</cp:lastPrinted>
  <dcterms:created xsi:type="dcterms:W3CDTF">2023-03-28T09:04:00Z</dcterms:created>
  <dcterms:modified xsi:type="dcterms:W3CDTF">2023-03-28T09:04:00Z</dcterms:modified>
</cp:coreProperties>
</file>